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5E0" w:firstRow="1" w:lastRow="1" w:firstColumn="1" w:lastColumn="1" w:noHBand="0" w:noVBand="1"/>
      </w:tblPr>
      <w:tblGrid>
        <w:gridCol w:w="5253"/>
        <w:gridCol w:w="4669"/>
      </w:tblGrid>
      <w:tr w:rsidR="00230FCE" w:rsidRPr="00230FCE" w:rsidTr="00230FCE">
        <w:trPr>
          <w:jc w:val="center"/>
        </w:trPr>
        <w:tc>
          <w:tcPr>
            <w:tcW w:w="2250" w:type="pct"/>
            <w:shd w:val="clear" w:color="auto" w:fill="auto"/>
            <w:tcMar>
              <w:top w:w="0" w:type="dxa"/>
              <w:left w:w="0" w:type="dxa"/>
              <w:bottom w:w="0" w:type="dxa"/>
              <w:right w:w="0" w:type="dxa"/>
            </w:tcMar>
          </w:tcPr>
          <w:p w:rsidR="00230FCE" w:rsidRPr="00230FCE" w:rsidRDefault="00230FCE" w:rsidP="00230FCE">
            <w:pPr>
              <w:pStyle w:val="rvps14"/>
              <w:spacing w:before="150" w:after="150"/>
              <w:rPr>
                <w:rStyle w:val="spanrvts0"/>
                <w:lang w:val="uk" w:eastAsia="uk"/>
              </w:rPr>
            </w:pPr>
          </w:p>
        </w:tc>
        <w:tc>
          <w:tcPr>
            <w:tcW w:w="2000" w:type="pct"/>
            <w:shd w:val="clear" w:color="auto" w:fill="auto"/>
            <w:tcMar>
              <w:top w:w="0" w:type="dxa"/>
              <w:left w:w="0" w:type="dxa"/>
              <w:bottom w:w="0" w:type="dxa"/>
              <w:right w:w="0" w:type="dxa"/>
            </w:tcMar>
            <w:hideMark/>
          </w:tcPr>
          <w:p w:rsidR="00230FCE" w:rsidRPr="00230FCE" w:rsidRDefault="00230FCE" w:rsidP="00230FCE">
            <w:pPr>
              <w:pStyle w:val="rvps14"/>
              <w:spacing w:before="150" w:after="150"/>
              <w:ind w:left="295"/>
              <w:rPr>
                <w:rStyle w:val="spanrvts0"/>
                <w:sz w:val="20"/>
                <w:szCs w:val="20"/>
                <w:lang w:val="uk" w:eastAsia="uk"/>
              </w:rPr>
            </w:pPr>
            <w:r w:rsidRPr="00230FCE">
              <w:rPr>
                <w:rStyle w:val="spanrvts0"/>
                <w:bCs/>
                <w:sz w:val="20"/>
                <w:szCs w:val="20"/>
                <w:lang w:val="uk" w:eastAsia="uk"/>
              </w:rPr>
              <w:t xml:space="preserve">Додаток 62 </w:t>
            </w:r>
            <w:r w:rsidRPr="00230FCE">
              <w:rPr>
                <w:rStyle w:val="spanrvts0"/>
                <w:bCs/>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230FCE">
              <w:rPr>
                <w:rStyle w:val="spanrvts0"/>
                <w:bCs/>
                <w:sz w:val="20"/>
                <w:szCs w:val="20"/>
                <w:lang w:val="uk" w:eastAsia="uk"/>
              </w:rPr>
              <w:br/>
              <w:t>паперами (пункт 108)</w:t>
            </w:r>
          </w:p>
        </w:tc>
      </w:tr>
    </w:tbl>
    <w:p w:rsidR="00230FCE" w:rsidRPr="00230FCE" w:rsidRDefault="00230FCE" w:rsidP="00230FCE">
      <w:pPr>
        <w:pStyle w:val="rvps7"/>
        <w:spacing w:before="150" w:after="150"/>
        <w:ind w:left="450" w:right="450"/>
        <w:rPr>
          <w:rStyle w:val="spanrvts0"/>
          <w:lang w:val="uk" w:eastAsia="uk"/>
        </w:rPr>
      </w:pPr>
      <w:r w:rsidRPr="00230FCE">
        <w:rPr>
          <w:rStyle w:val="spanrvts15"/>
          <w:bCs w:val="0"/>
          <w:lang w:val="uk" w:eastAsia="uk"/>
        </w:rPr>
        <w:t xml:space="preserve">ПОВІДОМЛЕННЯ </w:t>
      </w:r>
      <w:r w:rsidRPr="00230FCE">
        <w:rPr>
          <w:rStyle w:val="spanrvts15"/>
          <w:bCs w:val="0"/>
          <w:lang w:val="uk" w:eastAsia="uk"/>
        </w:rPr>
        <w:br/>
        <w:t>про проведення (скликання) загальних зборів акціонерного товариства</w:t>
      </w:r>
    </w:p>
    <w:tbl>
      <w:tblPr>
        <w:tblW w:w="4977" w:type="pct"/>
        <w:tblInd w:w="-20" w:type="dxa"/>
        <w:tblLayout w:type="fixed"/>
        <w:tblCellMar>
          <w:top w:w="567" w:type="dxa"/>
          <w:left w:w="567" w:type="dxa"/>
          <w:bottom w:w="567" w:type="dxa"/>
          <w:right w:w="567" w:type="dxa"/>
        </w:tblCellMar>
        <w:tblLook w:val="05E0" w:firstRow="1" w:lastRow="1" w:firstColumn="1" w:lastColumn="1" w:noHBand="0" w:noVBand="1"/>
      </w:tblPr>
      <w:tblGrid>
        <w:gridCol w:w="22"/>
        <w:gridCol w:w="2558"/>
        <w:gridCol w:w="7312"/>
      </w:tblGrid>
      <w:tr w:rsid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230FCE">
            <w:pPr>
              <w:pStyle w:val="rvps12"/>
              <w:spacing w:before="150" w:after="150"/>
              <w:rPr>
                <w:rStyle w:val="spanrvts0"/>
                <w:lang w:val="uk" w:eastAsia="uk"/>
              </w:rPr>
            </w:pPr>
            <w:r w:rsidRPr="00230FCE">
              <w:rPr>
                <w:rStyle w:val="spanrvts0"/>
                <w:b/>
                <w:bCs/>
                <w:lang w:val="uk" w:eastAsia="uk"/>
              </w:rPr>
              <w:t>1</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230FCE">
            <w:pPr>
              <w:pStyle w:val="rvps12"/>
              <w:spacing w:before="150" w:after="150"/>
              <w:rPr>
                <w:rStyle w:val="spanrvts0"/>
                <w:lang w:val="uk" w:eastAsia="uk"/>
              </w:rPr>
            </w:pPr>
            <w:r w:rsidRPr="00230FCE">
              <w:rPr>
                <w:rStyle w:val="spanrvts0"/>
                <w:b/>
                <w:bCs/>
                <w:lang w:val="uk" w:eastAsia="uk"/>
              </w:rPr>
              <w:t>2</w:t>
            </w:r>
          </w:p>
        </w:tc>
      </w:tr>
      <w:tr w:rsidR="00230FCE" w:rsidRPr="00197F0A"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t>Повне найменування</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30FCE" w:rsidRPr="00197F0A" w:rsidRDefault="00AA2A4D" w:rsidP="00EB1242">
            <w:pPr>
              <w:pStyle w:val="rvps14"/>
              <w:rPr>
                <w:rStyle w:val="spanrvts0"/>
                <w:lang w:val="ru-RU" w:eastAsia="uk"/>
              </w:rPr>
            </w:pPr>
            <w:r w:rsidRPr="00197F0A">
              <w:rPr>
                <w:rStyle w:val="spanrvts0"/>
                <w:lang w:val="ru-RU" w:eastAsia="uk"/>
              </w:rPr>
              <w:t xml:space="preserve"> </w:t>
            </w:r>
            <w:r w:rsidR="0059566F" w:rsidRPr="00197F0A">
              <w:rPr>
                <w:rStyle w:val="spanrvts0"/>
                <w:lang w:val="ru-RU" w:eastAsia="uk"/>
              </w:rPr>
              <w:t>ПРИВАТНЕ АКЦІОНЕРНЕ ТОВАРИСТВО "ТОРГОВИЙ ДІМ "ЕЛТОМ"</w:t>
            </w:r>
          </w:p>
        </w:tc>
      </w:tr>
      <w:tr w:rsid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t xml:space="preserve">Ідентифікаційний код юридичної особи </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30FCE" w:rsidRPr="00230FCE" w:rsidRDefault="00AA2A4D" w:rsidP="00EB1242">
            <w:pPr>
              <w:pStyle w:val="rvps14"/>
              <w:rPr>
                <w:rStyle w:val="spanrvts0"/>
                <w:lang w:val="uk" w:eastAsia="uk"/>
              </w:rPr>
            </w:pPr>
            <w:r>
              <w:rPr>
                <w:rStyle w:val="spanrvts0"/>
                <w:lang w:eastAsia="uk"/>
              </w:rPr>
              <w:t xml:space="preserve"> </w:t>
            </w:r>
            <w:r w:rsidR="0059566F">
              <w:rPr>
                <w:rStyle w:val="spanrvts0"/>
                <w:lang w:eastAsia="uk"/>
              </w:rPr>
              <w:t>34894709</w:t>
            </w:r>
          </w:p>
        </w:tc>
      </w:tr>
      <w:tr w:rsid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t xml:space="preserve">Місцезнаходження </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30FCE" w:rsidRPr="00230FCE" w:rsidRDefault="00AA2A4D" w:rsidP="00EB1242">
            <w:pPr>
              <w:pStyle w:val="rvps14"/>
              <w:rPr>
                <w:rStyle w:val="spanrvts0"/>
                <w:lang w:val="uk" w:eastAsia="uk"/>
              </w:rPr>
            </w:pPr>
            <w:r>
              <w:rPr>
                <w:rStyle w:val="spanrvts0"/>
                <w:lang w:eastAsia="uk"/>
              </w:rPr>
              <w:t xml:space="preserve"> </w:t>
            </w:r>
            <w:r w:rsidR="0059566F">
              <w:rPr>
                <w:rStyle w:val="spanrvts0"/>
                <w:lang w:eastAsia="uk"/>
              </w:rPr>
              <w:t>25002 місто Кропивницький вулиця Чикаленка Євгена, будинок 1, кор.2, оф.202</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t>Дата і час початку проведення загальних зборів</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30FCE" w:rsidRPr="00230FCE" w:rsidRDefault="00AA2A4D" w:rsidP="00EB1242">
            <w:pPr>
              <w:pStyle w:val="rvps14"/>
              <w:rPr>
                <w:rStyle w:val="spanrvts0"/>
                <w:lang w:val="uk" w:eastAsia="uk"/>
              </w:rPr>
            </w:pPr>
            <w:r>
              <w:rPr>
                <w:rStyle w:val="spanrvts0"/>
                <w:lang w:eastAsia="uk"/>
              </w:rPr>
              <w:t xml:space="preserve"> </w:t>
            </w:r>
            <w:r w:rsidR="0059566F">
              <w:rPr>
                <w:rStyle w:val="spanrvts0"/>
                <w:lang w:eastAsia="uk"/>
              </w:rPr>
              <w:t>01.06.2026 00:00</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230FCE">
            <w:pPr>
              <w:pStyle w:val="rvps14"/>
              <w:spacing w:before="150" w:after="150"/>
              <w:rPr>
                <w:rStyle w:val="spanrvts0"/>
                <w:lang w:val="uk" w:eastAsia="uk"/>
              </w:rPr>
            </w:pPr>
            <w:r w:rsidRPr="00230FCE">
              <w:rPr>
                <w:rStyle w:val="spanrvts0"/>
                <w:b/>
                <w:bCs/>
                <w:lang w:val="uk" w:eastAsia="uk"/>
              </w:rPr>
              <w:t>Спосіб проведення загальних зборів</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AA2A4D" w:rsidP="00197F0A">
            <w:pPr>
              <w:pStyle w:val="rvps14"/>
              <w:spacing w:before="150" w:after="150"/>
              <w:rPr>
                <w:rStyle w:val="spanrvts0"/>
                <w:lang w:val="uk" w:eastAsia="uk"/>
              </w:rPr>
            </w:pPr>
            <w:r w:rsidRPr="00AA2A4D">
              <w:rPr>
                <w:lang w:val="ru-RU"/>
              </w:rPr>
              <w:t xml:space="preserve">   </w:t>
            </w:r>
            <w:r w:rsidR="0059566F">
              <w:rPr>
                <w:b/>
              </w:rPr>
              <w:t xml:space="preserve"> </w:t>
            </w:r>
            <w:r w:rsidRPr="00AA2A4D">
              <w:rPr>
                <w:lang w:val="ru-RU"/>
              </w:rPr>
              <w:t xml:space="preserve"> </w:t>
            </w:r>
            <w:hyperlink r:id="rId5" w:history="1"/>
            <w:r w:rsidR="00230FCE" w:rsidRPr="00230FCE">
              <w:rPr>
                <w:rStyle w:val="spanrvts0"/>
                <w:b/>
                <w:bCs/>
                <w:lang w:val="uk" w:eastAsia="uk"/>
              </w:rPr>
              <w:t>очне го</w:t>
            </w:r>
            <w:bookmarkStart w:id="0" w:name="_GoBack"/>
            <w:bookmarkEnd w:id="0"/>
            <w:r w:rsidR="00230FCE" w:rsidRPr="00230FCE">
              <w:rPr>
                <w:rStyle w:val="spanrvts0"/>
                <w:b/>
                <w:bCs/>
                <w:lang w:val="uk" w:eastAsia="uk"/>
              </w:rPr>
              <w:t>лосування, місце проведення</w:t>
            </w:r>
            <w:r w:rsidR="00230FCE" w:rsidRPr="00230FCE">
              <w:rPr>
                <w:rStyle w:val="spanrvts37"/>
                <w:b w:val="0"/>
                <w:bCs w:val="0"/>
                <w:sz w:val="0"/>
                <w:szCs w:val="0"/>
                <w:lang w:val="uk" w:eastAsia="uk"/>
              </w:rPr>
              <w:t>-</w:t>
            </w:r>
            <w:r w:rsidR="00B8206F">
              <w:rPr>
                <w:rStyle w:val="spanrvts0"/>
                <w:b/>
                <w:bCs/>
                <w:lang w:val="uk" w:eastAsia="uk"/>
              </w:rPr>
              <w:t xml:space="preserve">: </w:t>
            </w:r>
            <w:r w:rsidR="00B8206F">
              <w:rPr>
                <w:rStyle w:val="spanrvts0"/>
                <w:b/>
                <w:bCs/>
                <w:lang w:val="uk" w:eastAsia="uk"/>
              </w:rPr>
              <w:br/>
            </w:r>
            <w:r w:rsidR="00B8206F" w:rsidRPr="00B8206F">
              <w:rPr>
                <w:rStyle w:val="spanrvts0"/>
                <w:b/>
                <w:bCs/>
                <w:lang w:val="ru-RU" w:eastAsia="uk"/>
              </w:rPr>
              <w:t xml:space="preserve"> </w:t>
            </w:r>
            <w:r w:rsidRPr="00AA2A4D">
              <w:rPr>
                <w:lang w:val="ru-RU"/>
              </w:rPr>
              <w:t xml:space="preserve">   </w:t>
            </w:r>
            <w:r w:rsidR="0059566F" w:rsidRPr="00197F0A">
              <w:rPr>
                <w:b/>
                <w:lang w:val="ru-RU"/>
              </w:rPr>
              <w:t xml:space="preserve"> </w:t>
            </w:r>
            <w:r w:rsidRPr="00AA2A4D">
              <w:rPr>
                <w:lang w:val="ru-RU"/>
              </w:rPr>
              <w:t xml:space="preserve"> </w:t>
            </w:r>
            <w:hyperlink r:id="rId6" w:history="1"/>
            <w:r w:rsidR="00230FCE" w:rsidRPr="00230FCE">
              <w:rPr>
                <w:rStyle w:val="spanrvts0"/>
                <w:b/>
                <w:bCs/>
                <w:lang w:val="uk" w:eastAsia="uk"/>
              </w:rPr>
              <w:t xml:space="preserve">електронне голосування </w:t>
            </w:r>
            <w:r w:rsidR="00230FCE" w:rsidRPr="00230FCE">
              <w:rPr>
                <w:rStyle w:val="spanrvts0"/>
                <w:b/>
                <w:bCs/>
                <w:lang w:val="uk" w:eastAsia="uk"/>
              </w:rPr>
              <w:br/>
            </w:r>
            <w:r w:rsidRPr="00AA2A4D">
              <w:rPr>
                <w:lang w:val="ru-RU"/>
              </w:rPr>
              <w:t xml:space="preserve">   </w:t>
            </w:r>
            <w:r w:rsidR="0059566F" w:rsidRPr="00197F0A">
              <w:rPr>
                <w:b/>
                <w:lang w:val="ru-RU"/>
              </w:rPr>
              <w:t>[</w:t>
            </w:r>
            <w:r w:rsidR="0059566F">
              <w:rPr>
                <w:b/>
              </w:rPr>
              <w:t>X</w:t>
            </w:r>
            <w:r w:rsidR="0059566F" w:rsidRPr="00197F0A">
              <w:rPr>
                <w:b/>
                <w:lang w:val="ru-RU"/>
              </w:rPr>
              <w:t>]</w:t>
            </w:r>
            <w:r w:rsidR="00B8206F" w:rsidRPr="00B8206F">
              <w:rPr>
                <w:lang w:val="ru-RU"/>
              </w:rPr>
              <w:t xml:space="preserve"> </w:t>
            </w:r>
            <w:hyperlink r:id="rId7" w:history="1"/>
            <w:r w:rsidR="00230FCE" w:rsidRPr="00230FCE">
              <w:rPr>
                <w:rStyle w:val="spanrvts0"/>
                <w:b/>
                <w:bCs/>
                <w:lang w:val="uk" w:eastAsia="uk"/>
              </w:rPr>
              <w:t>опитування (дистанційно)</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230FCE">
            <w:pPr>
              <w:pStyle w:val="rvps14"/>
              <w:spacing w:before="150" w:after="150"/>
              <w:rPr>
                <w:rStyle w:val="spanrvts0"/>
                <w:lang w:val="uk" w:eastAsia="uk"/>
              </w:rPr>
            </w:pPr>
            <w:r w:rsidRPr="00230FCE">
              <w:rPr>
                <w:rStyle w:val="spanrvts0"/>
                <w:b/>
                <w:bCs/>
                <w:lang w:val="uk" w:eastAsia="uk"/>
              </w:rPr>
              <w:t>Час початку і закінчення реєстрації акціонерів для участі у загальних зборах</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0FCE" w:rsidRDefault="00B8206F" w:rsidP="00EB1242">
            <w:pPr>
              <w:pStyle w:val="rvps14"/>
              <w:contextualSpacing/>
              <w:rPr>
                <w:rStyle w:val="spanrvts0"/>
                <w:lang w:eastAsia="uk"/>
              </w:rPr>
            </w:pPr>
            <w:r>
              <w:rPr>
                <w:rStyle w:val="spanrvts0"/>
                <w:lang w:eastAsia="uk"/>
              </w:rPr>
              <w:t xml:space="preserve"> </w:t>
            </w:r>
            <w:r w:rsidR="0059566F">
              <w:rPr>
                <w:rStyle w:val="spanrvts0"/>
                <w:lang w:eastAsia="uk"/>
              </w:rPr>
              <w:t xml:space="preserve"> </w:t>
            </w:r>
          </w:p>
          <w:p w:rsidR="00EB1242" w:rsidRPr="00B8206F" w:rsidRDefault="00EB1242" w:rsidP="00EB1242">
            <w:pPr>
              <w:pStyle w:val="rvps14"/>
              <w:rPr>
                <w:rStyle w:val="spanrvts0"/>
                <w:lang w:eastAsia="uk"/>
              </w:rPr>
            </w:pPr>
            <w:r>
              <w:rPr>
                <w:rStyle w:val="spanrvts0"/>
                <w:lang w:eastAsia="uk"/>
              </w:rPr>
              <w:t xml:space="preserve"> </w:t>
            </w:r>
            <w:r w:rsidR="0059566F">
              <w:rPr>
                <w:rStyle w:val="spanrvts0"/>
                <w:lang w:eastAsia="uk"/>
              </w:rPr>
              <w:t xml:space="preserve"> </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t>Дата складення переліку акціонерів, які мають право на участь у загальних зборах</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0FCE" w:rsidRPr="00B8206F" w:rsidRDefault="00B8206F" w:rsidP="00EB1242">
            <w:pPr>
              <w:pStyle w:val="rvps14"/>
              <w:rPr>
                <w:rStyle w:val="spanrvts0"/>
                <w:lang w:eastAsia="uk"/>
              </w:rPr>
            </w:pPr>
            <w:r>
              <w:rPr>
                <w:rStyle w:val="spanrvts0"/>
                <w:lang w:eastAsia="uk"/>
              </w:rPr>
              <w:t xml:space="preserve"> </w:t>
            </w:r>
            <w:r w:rsidR="0059566F">
              <w:rPr>
                <w:rStyle w:val="spanrvts0"/>
                <w:lang w:eastAsia="uk"/>
              </w:rPr>
              <w:t>27.04.2026</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230FCE">
            <w:pPr>
              <w:pStyle w:val="rvps14"/>
              <w:spacing w:before="150" w:after="150"/>
              <w:rPr>
                <w:rStyle w:val="spanrvts0"/>
                <w:lang w:val="uk" w:eastAsia="uk"/>
              </w:rPr>
            </w:pPr>
            <w:r w:rsidRPr="00230FCE">
              <w:rPr>
                <w:rStyle w:val="spanrvts0"/>
                <w:b/>
                <w:bCs/>
                <w:lang w:val="uk" w:eastAsia="uk"/>
              </w:rPr>
              <w:t>Проект порядку денного / порядок денний</w:t>
            </w:r>
            <w:r w:rsidRPr="00230FCE">
              <w:rPr>
                <w:rStyle w:val="spanrvts37"/>
                <w:b w:val="0"/>
                <w:bCs w:val="0"/>
                <w:sz w:val="0"/>
                <w:szCs w:val="0"/>
                <w:lang w:val="uk" w:eastAsia="uk"/>
              </w:rPr>
              <w:t>-</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9566F" w:rsidRPr="00197F0A" w:rsidRDefault="00EB1242" w:rsidP="00EB1242">
            <w:pPr>
              <w:pStyle w:val="rvps14"/>
              <w:rPr>
                <w:rStyle w:val="spanrvts0"/>
                <w:lang w:val="ru-RU" w:eastAsia="uk"/>
              </w:rPr>
            </w:pPr>
            <w:r w:rsidRPr="00197F0A">
              <w:rPr>
                <w:rStyle w:val="spanrvts0"/>
                <w:lang w:val="ru-RU" w:eastAsia="uk"/>
              </w:rPr>
              <w:t xml:space="preserve"> </w:t>
            </w:r>
            <w:r w:rsidR="0059566F" w:rsidRPr="00197F0A">
              <w:rPr>
                <w:rStyle w:val="spanrvts0"/>
                <w:lang w:val="ru-RU" w:eastAsia="uk"/>
              </w:rPr>
              <w:t>1.</w:t>
            </w:r>
            <w:r w:rsidR="0059566F" w:rsidRPr="00197F0A">
              <w:rPr>
                <w:rStyle w:val="spanrvts0"/>
                <w:lang w:val="ru-RU" w:eastAsia="uk"/>
              </w:rPr>
              <w:tab/>
              <w:t>Розгляд звіту наглядової ради Товариства за 2025 рік. Прийняття рішення за наслідками розгляду звіту наглядової ради за 2025 рік.</w:t>
            </w:r>
          </w:p>
          <w:p w:rsidR="0059566F" w:rsidRPr="00197F0A" w:rsidRDefault="0059566F" w:rsidP="00EB1242">
            <w:pPr>
              <w:pStyle w:val="rvps14"/>
              <w:rPr>
                <w:rStyle w:val="spanrvts0"/>
                <w:lang w:val="ru-RU" w:eastAsia="uk"/>
              </w:rPr>
            </w:pPr>
            <w:r w:rsidRPr="00197F0A">
              <w:rPr>
                <w:rStyle w:val="spanrvts0"/>
                <w:lang w:val="ru-RU" w:eastAsia="uk"/>
              </w:rPr>
              <w:t>2.</w:t>
            </w:r>
            <w:r w:rsidRPr="00197F0A">
              <w:rPr>
                <w:rStyle w:val="spanrvts0"/>
                <w:lang w:val="ru-RU" w:eastAsia="uk"/>
              </w:rPr>
              <w:tab/>
              <w:t>Розгляд звіту виконавчого органу Товариства за 2025 рік. Прийняття рішення за наслідками розгляду звіту виконавчого органу.</w:t>
            </w:r>
          </w:p>
          <w:p w:rsidR="0059566F" w:rsidRPr="00197F0A" w:rsidRDefault="0059566F" w:rsidP="00EB1242">
            <w:pPr>
              <w:pStyle w:val="rvps14"/>
              <w:rPr>
                <w:rStyle w:val="spanrvts0"/>
                <w:lang w:val="ru-RU" w:eastAsia="uk"/>
              </w:rPr>
            </w:pPr>
            <w:r w:rsidRPr="00197F0A">
              <w:rPr>
                <w:rStyle w:val="spanrvts0"/>
                <w:lang w:val="ru-RU" w:eastAsia="uk"/>
              </w:rPr>
              <w:t>3.</w:t>
            </w:r>
            <w:r w:rsidRPr="00197F0A">
              <w:rPr>
                <w:rStyle w:val="spanrvts0"/>
                <w:lang w:val="ru-RU" w:eastAsia="uk"/>
              </w:rPr>
              <w:tab/>
              <w:t>Затвердження річного звіту Товариства за 2025 рік. Порядок покриття збитків Товариства за 2025 рік.</w:t>
            </w:r>
          </w:p>
          <w:p w:rsidR="00230FCE" w:rsidRPr="00197F0A" w:rsidRDefault="0059566F" w:rsidP="00EB1242">
            <w:pPr>
              <w:pStyle w:val="rvps14"/>
              <w:rPr>
                <w:rStyle w:val="spanrvts0"/>
                <w:lang w:val="ru-RU" w:eastAsia="uk"/>
              </w:rPr>
            </w:pPr>
            <w:r w:rsidRPr="00197F0A">
              <w:rPr>
                <w:rStyle w:val="spanrvts0"/>
                <w:lang w:val="ru-RU" w:eastAsia="uk"/>
              </w:rPr>
              <w:t>4.</w:t>
            </w:r>
            <w:r w:rsidRPr="00197F0A">
              <w:rPr>
                <w:rStyle w:val="spanrvts0"/>
                <w:lang w:val="ru-RU" w:eastAsia="uk"/>
              </w:rPr>
              <w:tab/>
              <w:t>Розгляд висновків аудиторського звіту суб'єкта аудиторської діяльності та затвердження заходів за результатами розгляду такого звіту за 2025 рік.</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t>Проекти рішень (крім кумулятивного голосування) з кожного питання, включеного до проекту порядку денного</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9566F" w:rsidRPr="00197F0A" w:rsidRDefault="00EB1242" w:rsidP="00EB1242">
            <w:pPr>
              <w:pStyle w:val="rvps14"/>
              <w:rPr>
                <w:rStyle w:val="spanrvts0"/>
                <w:lang w:val="ru-RU" w:eastAsia="uk"/>
              </w:rPr>
            </w:pPr>
            <w:r w:rsidRPr="00197F0A">
              <w:rPr>
                <w:rStyle w:val="spanrvts0"/>
                <w:lang w:val="ru-RU" w:eastAsia="uk"/>
              </w:rPr>
              <w:t xml:space="preserve"> </w:t>
            </w:r>
            <w:r w:rsidR="0059566F" w:rsidRPr="00197F0A">
              <w:rPr>
                <w:rStyle w:val="spanrvts0"/>
                <w:lang w:val="ru-RU" w:eastAsia="uk"/>
              </w:rPr>
              <w:t>1. Розгляд звіту наглядової ради Товариства за 2025 рік. Прийняття рішення за наслідками розгляду звіту наглядової ради за 2025 рік.</w:t>
            </w:r>
          </w:p>
          <w:p w:rsidR="0059566F" w:rsidRPr="00197F0A" w:rsidRDefault="0059566F" w:rsidP="00EB1242">
            <w:pPr>
              <w:pStyle w:val="rvps14"/>
              <w:rPr>
                <w:rStyle w:val="spanrvts0"/>
                <w:lang w:val="ru-RU" w:eastAsia="uk"/>
              </w:rPr>
            </w:pPr>
            <w:r w:rsidRPr="00197F0A">
              <w:rPr>
                <w:rStyle w:val="spanrvts0"/>
                <w:lang w:val="ru-RU" w:eastAsia="uk"/>
              </w:rPr>
              <w:t>Проект рішення:</w:t>
            </w:r>
          </w:p>
          <w:p w:rsidR="0059566F" w:rsidRPr="00197F0A" w:rsidRDefault="0059566F" w:rsidP="00EB1242">
            <w:pPr>
              <w:pStyle w:val="rvps14"/>
              <w:rPr>
                <w:rStyle w:val="spanrvts0"/>
                <w:lang w:val="ru-RU" w:eastAsia="uk"/>
              </w:rPr>
            </w:pPr>
            <w:r w:rsidRPr="00197F0A">
              <w:rPr>
                <w:rStyle w:val="spanrvts0"/>
                <w:lang w:val="ru-RU" w:eastAsia="uk"/>
              </w:rPr>
              <w:t>1. Звіт наглядової ради затвердити, роботу наглядової ради за 2025 рік визнати задовільною та такою, що відповідає меті і напрямам діяльності Товариства та положенням його установчих документів.</w:t>
            </w:r>
          </w:p>
          <w:p w:rsidR="0059566F" w:rsidRPr="00197F0A" w:rsidRDefault="0059566F" w:rsidP="00EB1242">
            <w:pPr>
              <w:pStyle w:val="rvps14"/>
              <w:rPr>
                <w:rStyle w:val="spanrvts0"/>
                <w:lang w:val="ru-RU" w:eastAsia="uk"/>
              </w:rPr>
            </w:pPr>
          </w:p>
          <w:p w:rsidR="0059566F" w:rsidRPr="00197F0A" w:rsidRDefault="0059566F" w:rsidP="00EB1242">
            <w:pPr>
              <w:pStyle w:val="rvps14"/>
              <w:rPr>
                <w:rStyle w:val="spanrvts0"/>
                <w:lang w:val="ru-RU" w:eastAsia="uk"/>
              </w:rPr>
            </w:pPr>
            <w:r w:rsidRPr="00197F0A">
              <w:rPr>
                <w:rStyle w:val="spanrvts0"/>
                <w:lang w:val="ru-RU" w:eastAsia="uk"/>
              </w:rPr>
              <w:t>2. Розгляд звіту виконавчого органу Товариства за 2025 рік. Прийняття рішення за наслідками розгляду звіту виконавчого органу.</w:t>
            </w:r>
          </w:p>
          <w:p w:rsidR="0059566F" w:rsidRPr="00197F0A" w:rsidRDefault="0059566F" w:rsidP="00EB1242">
            <w:pPr>
              <w:pStyle w:val="rvps14"/>
              <w:rPr>
                <w:rStyle w:val="spanrvts0"/>
                <w:lang w:val="ru-RU" w:eastAsia="uk"/>
              </w:rPr>
            </w:pPr>
            <w:r w:rsidRPr="00197F0A">
              <w:rPr>
                <w:rStyle w:val="spanrvts0"/>
                <w:lang w:val="ru-RU" w:eastAsia="uk"/>
              </w:rPr>
              <w:t>Проект рішення:</w:t>
            </w:r>
          </w:p>
          <w:p w:rsidR="0059566F" w:rsidRPr="00197F0A" w:rsidRDefault="0059566F" w:rsidP="00EB1242">
            <w:pPr>
              <w:pStyle w:val="rvps14"/>
              <w:rPr>
                <w:rStyle w:val="spanrvts0"/>
                <w:lang w:val="ru-RU" w:eastAsia="uk"/>
              </w:rPr>
            </w:pPr>
            <w:r w:rsidRPr="00197F0A">
              <w:rPr>
                <w:rStyle w:val="spanrvts0"/>
                <w:lang w:val="ru-RU" w:eastAsia="uk"/>
              </w:rPr>
              <w:t xml:space="preserve">1. Звіт виконавчого органу Товариства взяти до уваги, роботу виконавчого органу Товариства за 2025 рік визнати задовільною та </w:t>
            </w:r>
            <w:r w:rsidRPr="00197F0A">
              <w:rPr>
                <w:rStyle w:val="spanrvts0"/>
                <w:lang w:val="ru-RU" w:eastAsia="uk"/>
              </w:rPr>
              <w:lastRenderedPageBreak/>
              <w:t>такою, що відповідає меті і напрямам діяльності Товариства та положенням його установчих документів.</w:t>
            </w:r>
          </w:p>
          <w:p w:rsidR="0059566F" w:rsidRPr="00197F0A" w:rsidRDefault="0059566F" w:rsidP="00EB1242">
            <w:pPr>
              <w:pStyle w:val="rvps14"/>
              <w:rPr>
                <w:rStyle w:val="spanrvts0"/>
                <w:lang w:val="ru-RU" w:eastAsia="uk"/>
              </w:rPr>
            </w:pPr>
          </w:p>
          <w:p w:rsidR="0059566F" w:rsidRPr="00197F0A" w:rsidRDefault="0059566F" w:rsidP="00EB1242">
            <w:pPr>
              <w:pStyle w:val="rvps14"/>
              <w:rPr>
                <w:rStyle w:val="spanrvts0"/>
                <w:lang w:val="ru-RU" w:eastAsia="uk"/>
              </w:rPr>
            </w:pPr>
            <w:r w:rsidRPr="00197F0A">
              <w:rPr>
                <w:rStyle w:val="spanrvts0"/>
                <w:lang w:val="ru-RU" w:eastAsia="uk"/>
              </w:rPr>
              <w:t>3. Затвердження річного звіту Товариства за 2025 рік. Порядок покриття збитків Товариства за 2025 рік.</w:t>
            </w:r>
          </w:p>
          <w:p w:rsidR="0059566F" w:rsidRPr="00197F0A" w:rsidRDefault="0059566F" w:rsidP="00EB1242">
            <w:pPr>
              <w:pStyle w:val="rvps14"/>
              <w:rPr>
                <w:rStyle w:val="spanrvts0"/>
                <w:lang w:val="ru-RU" w:eastAsia="uk"/>
              </w:rPr>
            </w:pPr>
            <w:r w:rsidRPr="00197F0A">
              <w:rPr>
                <w:rStyle w:val="spanrvts0"/>
                <w:lang w:val="ru-RU" w:eastAsia="uk"/>
              </w:rPr>
              <w:t>Проект рішення:</w:t>
            </w:r>
          </w:p>
          <w:p w:rsidR="0059566F" w:rsidRPr="00197F0A" w:rsidRDefault="0059566F" w:rsidP="00EB1242">
            <w:pPr>
              <w:pStyle w:val="rvps14"/>
              <w:rPr>
                <w:rStyle w:val="spanrvts0"/>
                <w:lang w:val="ru-RU" w:eastAsia="uk"/>
              </w:rPr>
            </w:pPr>
            <w:r w:rsidRPr="00197F0A">
              <w:rPr>
                <w:rStyle w:val="spanrvts0"/>
                <w:lang w:val="ru-RU" w:eastAsia="uk"/>
              </w:rPr>
              <w:t>1.Затвердити результати фінансово-господарської діяльності Товариства за 2025 рік. Затвердити річний звіт Товариства за 2025 рік. Збиток від господарської діяльності Товариства за 2025 рік покрити за рахунок нерозподіленого прибутку. Дивіденди за 2025 рік не нараховувати та не виплачувати. Відрахування до резервного фонду за 2025 рік не здійснювати.</w:t>
            </w:r>
          </w:p>
          <w:p w:rsidR="0059566F" w:rsidRPr="00197F0A" w:rsidRDefault="0059566F" w:rsidP="00EB1242">
            <w:pPr>
              <w:pStyle w:val="rvps14"/>
              <w:rPr>
                <w:rStyle w:val="spanrvts0"/>
                <w:lang w:val="ru-RU" w:eastAsia="uk"/>
              </w:rPr>
            </w:pPr>
          </w:p>
          <w:p w:rsidR="0059566F" w:rsidRPr="00197F0A" w:rsidRDefault="0059566F" w:rsidP="00EB1242">
            <w:pPr>
              <w:pStyle w:val="rvps14"/>
              <w:rPr>
                <w:rStyle w:val="spanrvts0"/>
                <w:lang w:val="ru-RU" w:eastAsia="uk"/>
              </w:rPr>
            </w:pPr>
            <w:r w:rsidRPr="00197F0A">
              <w:rPr>
                <w:rStyle w:val="spanrvts0"/>
                <w:lang w:val="ru-RU" w:eastAsia="uk"/>
              </w:rPr>
              <w:t>4.Розгляд висновків аудиторського звіту суб'єкта аудиторської діяльності та затвердження заходів за результатами розгляду такого звіту за 2025 рік.</w:t>
            </w:r>
          </w:p>
          <w:p w:rsidR="0059566F" w:rsidRPr="00197F0A" w:rsidRDefault="0059566F" w:rsidP="00EB1242">
            <w:pPr>
              <w:pStyle w:val="rvps14"/>
              <w:rPr>
                <w:rStyle w:val="spanrvts0"/>
                <w:lang w:val="ru-RU" w:eastAsia="uk"/>
              </w:rPr>
            </w:pPr>
            <w:r w:rsidRPr="00197F0A">
              <w:rPr>
                <w:rStyle w:val="spanrvts0"/>
                <w:lang w:val="ru-RU" w:eastAsia="uk"/>
              </w:rPr>
              <w:t>Проект рішення:</w:t>
            </w:r>
          </w:p>
          <w:p w:rsidR="00230FCE" w:rsidRPr="00197F0A" w:rsidRDefault="0059566F" w:rsidP="00EB1242">
            <w:pPr>
              <w:pStyle w:val="rvps14"/>
              <w:rPr>
                <w:rStyle w:val="spanrvts0"/>
                <w:lang w:val="ru-RU" w:eastAsia="uk"/>
              </w:rPr>
            </w:pPr>
            <w:r w:rsidRPr="00197F0A">
              <w:rPr>
                <w:rStyle w:val="spanrvts0"/>
                <w:lang w:val="ru-RU" w:eastAsia="uk"/>
              </w:rPr>
              <w:t>Прийняти до відома висновки аудиторського звіту суб'єкта аудиторської діяльності та затвердити заходи за результатами розгляду за 2025 рік.</w:t>
            </w:r>
          </w:p>
        </w:tc>
      </w:tr>
      <w:tr w:rsidR="00230FCE" w:rsidRPr="00197F0A"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lastRenderedPageBreak/>
              <w:t xml:space="preserve">URL-адреса вебсайту, на якій розміщено інформацію, зазначену в </w:t>
            </w:r>
            <w:hyperlink r:id="rId8" w:anchor="n506" w:tgtFrame="_blank" w:history="1">
              <w:r w:rsidRPr="00230FCE">
                <w:rPr>
                  <w:rStyle w:val="arvts96"/>
                  <w:lang w:val="uk" w:eastAsia="uk"/>
                </w:rPr>
                <w:t>частині третій</w:t>
              </w:r>
            </w:hyperlink>
            <w:r w:rsidRPr="00230FCE">
              <w:rPr>
                <w:rStyle w:val="spanrvts0"/>
                <w:b/>
                <w:bCs/>
                <w:lang w:val="uk" w:eastAsia="uk"/>
              </w:rPr>
              <w:t xml:space="preserve"> статті 47 Закону про акціонерні товариства</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30FCE" w:rsidRPr="00197F0A" w:rsidRDefault="00EB1242" w:rsidP="00EB1242">
            <w:pPr>
              <w:pStyle w:val="rvps14"/>
              <w:rPr>
                <w:rStyle w:val="spanrvts0"/>
                <w:lang w:val="uk" w:eastAsia="uk"/>
              </w:rPr>
            </w:pPr>
            <w:r w:rsidRPr="00197F0A">
              <w:rPr>
                <w:rStyle w:val="spanrvts0"/>
                <w:lang w:val="uk" w:eastAsia="uk"/>
              </w:rPr>
              <w:t xml:space="preserve"> </w:t>
            </w:r>
            <w:r w:rsidR="0059566F">
              <w:rPr>
                <w:rStyle w:val="spanrvts0"/>
                <w:lang w:eastAsia="uk"/>
              </w:rPr>
              <w:t>https</w:t>
            </w:r>
            <w:r w:rsidR="0059566F" w:rsidRPr="00197F0A">
              <w:rPr>
                <w:rStyle w:val="spanrvts0"/>
                <w:lang w:val="uk" w:eastAsia="uk"/>
              </w:rPr>
              <w:t>://</w:t>
            </w:r>
            <w:r w:rsidR="0059566F">
              <w:rPr>
                <w:rStyle w:val="spanrvts0"/>
                <w:lang w:eastAsia="uk"/>
              </w:rPr>
              <w:t>tdchervonazirka</w:t>
            </w:r>
            <w:r w:rsidR="0059566F" w:rsidRPr="00197F0A">
              <w:rPr>
                <w:rStyle w:val="spanrvts0"/>
                <w:lang w:val="uk" w:eastAsia="uk"/>
              </w:rPr>
              <w:t>.</w:t>
            </w:r>
            <w:r w:rsidR="0059566F">
              <w:rPr>
                <w:rStyle w:val="spanrvts0"/>
                <w:lang w:eastAsia="uk"/>
              </w:rPr>
              <w:t>prat</w:t>
            </w:r>
            <w:r w:rsidR="0059566F" w:rsidRPr="00197F0A">
              <w:rPr>
                <w:rStyle w:val="spanrvts0"/>
                <w:lang w:val="uk" w:eastAsia="uk"/>
              </w:rPr>
              <w:t>.</w:t>
            </w:r>
            <w:r w:rsidR="0059566F">
              <w:rPr>
                <w:rStyle w:val="spanrvts0"/>
                <w:lang w:eastAsia="uk"/>
              </w:rPr>
              <w:t>in</w:t>
            </w:r>
            <w:r w:rsidR="0059566F" w:rsidRPr="00197F0A">
              <w:rPr>
                <w:rStyle w:val="spanrvts0"/>
                <w:lang w:val="uk" w:eastAsia="uk"/>
              </w:rPr>
              <w:t>.</w:t>
            </w:r>
            <w:r w:rsidR="0059566F">
              <w:rPr>
                <w:rStyle w:val="spanrvts0"/>
                <w:lang w:eastAsia="uk"/>
              </w:rPr>
              <w:t>ua</w:t>
            </w:r>
            <w:r w:rsidR="0059566F" w:rsidRPr="00197F0A">
              <w:rPr>
                <w:rStyle w:val="spanrvts0"/>
                <w:lang w:val="uk" w:eastAsia="uk"/>
              </w:rPr>
              <w:t>/</w:t>
            </w:r>
            <w:r w:rsidR="0059566F">
              <w:rPr>
                <w:rStyle w:val="spanrvts0"/>
                <w:lang w:eastAsia="uk"/>
              </w:rPr>
              <w:t>documents</w:t>
            </w:r>
            <w:r w:rsidR="0059566F" w:rsidRPr="00197F0A">
              <w:rPr>
                <w:rStyle w:val="spanrvts0"/>
                <w:lang w:val="uk" w:eastAsia="uk"/>
              </w:rPr>
              <w:t>/</w:t>
            </w:r>
            <w:r w:rsidR="0059566F">
              <w:rPr>
                <w:rStyle w:val="spanrvts0"/>
                <w:lang w:eastAsia="uk"/>
              </w:rPr>
              <w:t>akcionernii</w:t>
            </w:r>
            <w:r w:rsidR="0059566F" w:rsidRPr="00197F0A">
              <w:rPr>
                <w:rStyle w:val="spanrvts0"/>
                <w:lang w:val="uk" w:eastAsia="uk"/>
              </w:rPr>
              <w:t>-</w:t>
            </w:r>
            <w:r w:rsidR="0059566F">
              <w:rPr>
                <w:rStyle w:val="spanrvts0"/>
                <w:lang w:eastAsia="uk"/>
              </w:rPr>
              <w:t>kapital</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t>Порядок ознайомлення акціонерів з матеріалами, з якими вони можуть ознайомитися під час підготовки до загальних зборів</w:t>
            </w:r>
            <w:r w:rsidRPr="00230FCE">
              <w:rPr>
                <w:rStyle w:val="spanrvts37"/>
                <w:b w:val="0"/>
                <w:bCs w:val="0"/>
                <w:sz w:val="0"/>
                <w:szCs w:val="0"/>
                <w:lang w:val="uk" w:eastAsia="uk"/>
              </w:rPr>
              <w:t>-</w:t>
            </w:r>
            <w:r w:rsidRPr="00230FCE">
              <w:rPr>
                <w:rStyle w:val="spanrvts0"/>
                <w:b/>
                <w:bCs/>
                <w:lang w:val="uk" w:eastAsia="uk"/>
              </w:rPr>
              <w:t>, та посадова особа</w:t>
            </w:r>
            <w:r w:rsidRPr="00230FCE">
              <w:rPr>
                <w:rStyle w:val="spanrvts37"/>
                <w:b w:val="0"/>
                <w:bCs w:val="0"/>
                <w:sz w:val="0"/>
                <w:szCs w:val="0"/>
                <w:lang w:val="uk" w:eastAsia="uk"/>
              </w:rPr>
              <w:t>-</w:t>
            </w:r>
            <w:r w:rsidRPr="00230FCE">
              <w:rPr>
                <w:rStyle w:val="spanrvts0"/>
                <w:b/>
                <w:bCs/>
                <w:lang w:val="uk" w:eastAsia="uk"/>
              </w:rPr>
              <w:t xml:space="preserve"> акціонерного товариства, відповідальна за порядок ознайомлення акціонерів з документами</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30FCE" w:rsidRPr="00197F0A" w:rsidRDefault="00FC060E" w:rsidP="00EB1242">
            <w:pPr>
              <w:pStyle w:val="rvps14"/>
              <w:rPr>
                <w:rStyle w:val="spanrvts0"/>
                <w:lang w:val="ru-RU" w:eastAsia="uk"/>
              </w:rPr>
            </w:pPr>
            <w:r w:rsidRPr="00197F0A">
              <w:rPr>
                <w:rStyle w:val="spanrvts0"/>
                <w:lang w:val="ru-RU" w:eastAsia="uk"/>
              </w:rPr>
              <w:t xml:space="preserve"> </w:t>
            </w:r>
            <w:r w:rsidR="0059566F" w:rsidRPr="00197F0A">
              <w:rPr>
                <w:rStyle w:val="spanrvts0"/>
                <w:lang w:val="ru-RU" w:eastAsia="uk"/>
              </w:rPr>
              <w:t xml:space="preserve">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включених до проєкту порядку денного та порядку денного. Запит акціонера та/або пропозиція до проєкту порядку денного Загальних зборів мають бути оформлені згідно з вимогами Порядку №236, та можуть бути направлені акціонером у вигляді електронного документу із засвідченням його кваліфікованим електронним підписом акціонера (іншим засобом, що забезпечує ідентифікацію та підтвердження направлення документу особою) на адресу електронної пошти Товариства: </w:t>
            </w:r>
            <w:r w:rsidR="0059566F">
              <w:rPr>
                <w:rStyle w:val="spanrvts0"/>
                <w:lang w:eastAsia="uk"/>
              </w:rPr>
              <w:t>hydro</w:t>
            </w:r>
            <w:r w:rsidR="0059566F" w:rsidRPr="00197F0A">
              <w:rPr>
                <w:rStyle w:val="spanrvts0"/>
                <w:lang w:val="ru-RU" w:eastAsia="uk"/>
              </w:rPr>
              <w:t>.</w:t>
            </w:r>
            <w:r w:rsidR="0059566F">
              <w:rPr>
                <w:rStyle w:val="spanrvts0"/>
                <w:lang w:eastAsia="uk"/>
              </w:rPr>
              <w:t>vss</w:t>
            </w:r>
            <w:r w:rsidR="0059566F" w:rsidRPr="00197F0A">
              <w:rPr>
                <w:rStyle w:val="spanrvts0"/>
                <w:lang w:val="ru-RU" w:eastAsia="uk"/>
              </w:rPr>
              <w:t>@</w:t>
            </w:r>
            <w:r w:rsidR="0059566F">
              <w:rPr>
                <w:rStyle w:val="spanrvts0"/>
                <w:lang w:eastAsia="uk"/>
              </w:rPr>
              <w:t>gmail</w:t>
            </w:r>
            <w:r w:rsidR="0059566F" w:rsidRPr="00197F0A">
              <w:rPr>
                <w:rStyle w:val="spanrvts0"/>
                <w:lang w:val="ru-RU" w:eastAsia="uk"/>
              </w:rPr>
              <w:t>.</w:t>
            </w:r>
            <w:r w:rsidR="0059566F">
              <w:rPr>
                <w:rStyle w:val="spanrvts0"/>
                <w:lang w:eastAsia="uk"/>
              </w:rPr>
              <w:t>com</w:t>
            </w:r>
            <w:r w:rsidR="0059566F" w:rsidRPr="00197F0A">
              <w:rPr>
                <w:rStyle w:val="spanrvts0"/>
                <w:lang w:val="ru-RU" w:eastAsia="uk"/>
              </w:rPr>
              <w:t>. Відповідь на запит акціонера направляється на адресу електронної пошти акціонера, з якої надійшов належним чином оформлений запит, із засвідченням документів кваліфікованим електронним підписом уповноваженої особи Товариства. Товариство може надати одну загальну відповідь на всі запитання однакового змісту. Посадовою особою Товариства, відповідальною за порядок ознайомлення акціонерів з документами, необхідними для прийняття рішень з питань порядку денного Загальних зборів під час підготовки до річних Загальних зборів акціонерів Товариства є Голова правління-виконавчий директор Глібко Ігор Юрійович, тел.+380522391649.</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t xml:space="preserve">Інформація про права, надані акціонерам відповідно до вимог </w:t>
            </w:r>
            <w:hyperlink r:id="rId9" w:anchor="n274" w:tgtFrame="_blank" w:history="1">
              <w:r w:rsidRPr="00230FCE">
                <w:rPr>
                  <w:rStyle w:val="arvts96"/>
                  <w:lang w:val="uk" w:eastAsia="uk"/>
                </w:rPr>
                <w:t>статей 27</w:t>
              </w:r>
            </w:hyperlink>
            <w:r w:rsidRPr="00230FCE">
              <w:rPr>
                <w:rStyle w:val="spanrvts0"/>
                <w:b/>
                <w:bCs/>
                <w:lang w:val="uk" w:eastAsia="uk"/>
              </w:rPr>
              <w:t xml:space="preserve"> і </w:t>
            </w:r>
            <w:hyperlink r:id="rId10" w:anchor="n283" w:tgtFrame="_blank" w:history="1">
              <w:r w:rsidRPr="00230FCE">
                <w:rPr>
                  <w:rStyle w:val="arvts96"/>
                  <w:lang w:val="uk" w:eastAsia="uk"/>
                </w:rPr>
                <w:t>28</w:t>
              </w:r>
            </w:hyperlink>
            <w:r w:rsidRPr="00230FCE">
              <w:rPr>
                <w:rStyle w:val="spanrvts0"/>
                <w:b/>
                <w:bCs/>
                <w:lang w:val="uk" w:eastAsia="uk"/>
              </w:rPr>
              <w:t xml:space="preserve"> Закону про акціонерні товариства, якими вони можуть користуватися після отримання повідомлення про проведення загальних </w:t>
            </w:r>
            <w:r w:rsidRPr="00230FCE">
              <w:rPr>
                <w:rStyle w:val="spanrvts0"/>
                <w:b/>
                <w:bCs/>
                <w:lang w:val="uk" w:eastAsia="uk"/>
              </w:rPr>
              <w:lastRenderedPageBreak/>
              <w:t>зборів, а також строк, протягом якого такі права можуть використовуватися</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9566F" w:rsidRPr="00197F0A" w:rsidRDefault="00FC060E" w:rsidP="00EB1242">
            <w:pPr>
              <w:pStyle w:val="rvps14"/>
              <w:rPr>
                <w:rStyle w:val="spanrvts0"/>
                <w:lang w:val="ru-RU" w:eastAsia="uk"/>
              </w:rPr>
            </w:pPr>
            <w:r w:rsidRPr="00197F0A">
              <w:rPr>
                <w:rStyle w:val="spanrvts0"/>
                <w:lang w:val="ru-RU" w:eastAsia="uk"/>
              </w:rPr>
              <w:lastRenderedPageBreak/>
              <w:t xml:space="preserve"> </w:t>
            </w:r>
            <w:r w:rsidR="0059566F" w:rsidRPr="00197F0A">
              <w:rPr>
                <w:rStyle w:val="spanrvts0"/>
                <w:lang w:val="ru-RU" w:eastAsia="uk"/>
              </w:rPr>
              <w:t xml:space="preserve">Від дати надсилання повідомлення про проведення річних загальних зборів акціонерів Товариства і до дати проведення загальних зборів акціонери Товариства (дата завершення голосування) мають право на: </w:t>
            </w:r>
          </w:p>
          <w:p w:rsidR="0059566F" w:rsidRPr="00197F0A" w:rsidRDefault="0059566F" w:rsidP="00EB1242">
            <w:pPr>
              <w:pStyle w:val="rvps14"/>
              <w:rPr>
                <w:rStyle w:val="spanrvts0"/>
                <w:lang w:val="ru-RU" w:eastAsia="uk"/>
              </w:rPr>
            </w:pPr>
            <w:r w:rsidRPr="00197F0A">
              <w:rPr>
                <w:rStyle w:val="spanrvts0"/>
                <w:lang w:val="ru-RU" w:eastAsia="uk"/>
              </w:rPr>
              <w:t xml:space="preserve">- ознайомлення з документами, необхідними для прийняття рішень з питань проєкту порядку денного та порядку денного, шляхом направлення запиту засобами електронної пошти; </w:t>
            </w:r>
          </w:p>
          <w:p w:rsidR="0059566F" w:rsidRPr="00197F0A" w:rsidRDefault="0059566F" w:rsidP="00EB1242">
            <w:pPr>
              <w:pStyle w:val="rvps14"/>
              <w:rPr>
                <w:rStyle w:val="spanrvts0"/>
                <w:lang w:val="ru-RU" w:eastAsia="uk"/>
              </w:rPr>
            </w:pPr>
            <w:r w:rsidRPr="00197F0A">
              <w:rPr>
                <w:rStyle w:val="spanrvts0"/>
                <w:lang w:val="ru-RU" w:eastAsia="uk"/>
              </w:rPr>
              <w:t>- отримання відповіді на запитання щодо питань, включених до проєкту порядку денного та порядку денного Загальних зборів акціонерів;</w:t>
            </w:r>
          </w:p>
          <w:p w:rsidR="0059566F" w:rsidRPr="00197F0A" w:rsidRDefault="0059566F" w:rsidP="00EB1242">
            <w:pPr>
              <w:pStyle w:val="rvps14"/>
              <w:rPr>
                <w:rStyle w:val="spanrvts0"/>
                <w:lang w:val="ru-RU" w:eastAsia="uk"/>
              </w:rPr>
            </w:pPr>
            <w:r w:rsidRPr="00197F0A">
              <w:rPr>
                <w:rStyle w:val="spanrvts0"/>
                <w:lang w:val="ru-RU" w:eastAsia="uk"/>
              </w:rPr>
              <w:t xml:space="preserve">- внесення пропозиції щодо питань, включених до проєкту порядку денного Загальних зборів та/або проєктів рішень до цих питань та /або </w:t>
            </w:r>
            <w:r w:rsidRPr="00197F0A">
              <w:rPr>
                <w:rStyle w:val="spanrvts0"/>
                <w:lang w:val="ru-RU" w:eastAsia="uk"/>
              </w:rPr>
              <w:lastRenderedPageBreak/>
              <w:t>включення нових питань з проєктами рішень з цих питань (не пізніше ніж за 20 днів до дати проведення Загальних зборів);</w:t>
            </w:r>
          </w:p>
          <w:p w:rsidR="0059566F" w:rsidRPr="00197F0A" w:rsidRDefault="0059566F" w:rsidP="00EB1242">
            <w:pPr>
              <w:pStyle w:val="rvps14"/>
              <w:rPr>
                <w:rStyle w:val="spanrvts0"/>
                <w:lang w:val="ru-RU" w:eastAsia="uk"/>
              </w:rPr>
            </w:pPr>
            <w:r w:rsidRPr="00197F0A">
              <w:rPr>
                <w:rStyle w:val="spanrvts0"/>
                <w:lang w:val="ru-RU" w:eastAsia="uk"/>
              </w:rPr>
              <w:t xml:space="preserve">- участь та голосування на загальних зборах (до завершення голосування на загальних зборах); </w:t>
            </w:r>
          </w:p>
          <w:p w:rsidR="0059566F" w:rsidRPr="00197F0A" w:rsidRDefault="0059566F" w:rsidP="00EB1242">
            <w:pPr>
              <w:pStyle w:val="rvps14"/>
              <w:rPr>
                <w:rStyle w:val="spanrvts0"/>
                <w:lang w:val="ru-RU" w:eastAsia="uk"/>
              </w:rPr>
            </w:pPr>
            <w:r w:rsidRPr="00197F0A">
              <w:rPr>
                <w:rStyle w:val="spanrvts0"/>
                <w:lang w:val="ru-RU" w:eastAsia="uk"/>
              </w:rPr>
              <w:t xml:space="preserve">- призначити свого представника або видати довіреність на право участі та голосування на загальних зборах; </w:t>
            </w:r>
          </w:p>
          <w:p w:rsidR="00230FCE" w:rsidRPr="00197F0A" w:rsidRDefault="0059566F" w:rsidP="00EB1242">
            <w:pPr>
              <w:pStyle w:val="rvps14"/>
              <w:rPr>
                <w:rStyle w:val="spanrvts0"/>
                <w:lang w:val="ru-RU" w:eastAsia="uk"/>
              </w:rPr>
            </w:pPr>
            <w:r w:rsidRPr="00197F0A">
              <w:rPr>
                <w:rStyle w:val="spanrvts0"/>
                <w:lang w:val="ru-RU" w:eastAsia="uk"/>
              </w:rPr>
              <w:t>- інші права, передбачені діючим законодавством України.</w:t>
            </w:r>
          </w:p>
        </w:tc>
      </w:tr>
      <w:tr w:rsidR="00230FCE" w:rsidRPr="00230FCE" w:rsidTr="00197F0A">
        <w:trPr>
          <w:gridBefore w:val="1"/>
          <w:wBefore w:w="11" w:type="pct"/>
          <w:trHeight w:val="60"/>
        </w:trPr>
        <w:tc>
          <w:tcPr>
            <w:tcW w:w="129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30FCE" w:rsidRPr="00230FCE" w:rsidRDefault="00230FCE" w:rsidP="00EB1242">
            <w:pPr>
              <w:pStyle w:val="rvps14"/>
              <w:rPr>
                <w:rStyle w:val="spanrvts0"/>
                <w:lang w:val="uk" w:eastAsia="uk"/>
              </w:rPr>
            </w:pPr>
            <w:r w:rsidRPr="00230FCE">
              <w:rPr>
                <w:rStyle w:val="spanrvts0"/>
                <w:b/>
                <w:bCs/>
                <w:lang w:val="uk" w:eastAsia="uk"/>
              </w:rPr>
              <w:lastRenderedPageBreak/>
              <w:t>Порядок надання акціонерами пропозицій до проекту порядку денного позачергових загальних зборів</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9566F" w:rsidRPr="00197F0A" w:rsidRDefault="00855E73" w:rsidP="00EB1242">
            <w:pPr>
              <w:pStyle w:val="rvps14"/>
              <w:rPr>
                <w:rStyle w:val="spanrvts0"/>
                <w:lang w:val="ru-RU" w:eastAsia="uk"/>
              </w:rPr>
            </w:pPr>
            <w:r w:rsidRPr="00197F0A">
              <w:rPr>
                <w:rStyle w:val="spanrvts0"/>
                <w:lang w:val="ru-RU" w:eastAsia="uk"/>
              </w:rPr>
              <w:t xml:space="preserve"> </w:t>
            </w:r>
            <w:r w:rsidR="0059566F" w:rsidRPr="00197F0A">
              <w:rPr>
                <w:rStyle w:val="spanrvts0"/>
                <w:lang w:val="ru-RU" w:eastAsia="uk"/>
              </w:rPr>
              <w:t>Кожний акціонер має право внести пропозиції щодо питань, включених до проекту порядку денного загальних зборів, а також стосовно нових кандидатів до складу органів акціонерного товариства, кількість яких не може перевищувати кількісний склад кожного з органів.</w:t>
            </w:r>
          </w:p>
          <w:p w:rsidR="0059566F" w:rsidRPr="00197F0A" w:rsidRDefault="0059566F" w:rsidP="00EB1242">
            <w:pPr>
              <w:pStyle w:val="rvps14"/>
              <w:rPr>
                <w:rStyle w:val="spanrvts0"/>
                <w:lang w:val="ru-RU" w:eastAsia="uk"/>
              </w:rPr>
            </w:pPr>
            <w:r w:rsidRPr="00197F0A">
              <w:rPr>
                <w:rStyle w:val="spanrvts0"/>
                <w:lang w:val="ru-RU" w:eastAsia="uk"/>
              </w:rPr>
              <w:t>Наглядова рада або рада директорів має право внести пропозиції щодо питань, включених до проекту порядку денного загальних зборів, якщо інше не передбачено статутом акціонерного товариства.</w:t>
            </w:r>
          </w:p>
          <w:p w:rsidR="0059566F" w:rsidRPr="00197F0A" w:rsidRDefault="0059566F" w:rsidP="00EB1242">
            <w:pPr>
              <w:pStyle w:val="rvps14"/>
              <w:rPr>
                <w:rStyle w:val="spanrvts0"/>
                <w:lang w:val="ru-RU" w:eastAsia="uk"/>
              </w:rPr>
            </w:pPr>
            <w:r w:rsidRPr="00197F0A">
              <w:rPr>
                <w:rStyle w:val="spanrvts0"/>
                <w:lang w:val="ru-RU" w:eastAsia="uk"/>
              </w:rPr>
              <w:t>Пропозиції вносяться не пізніше ніж за 20 днів до дати проведення загальних зборів, а стосовно кандидатів до складу органів товариства - не пізніше ніж за сім днів до дати проведення загальних зборів.</w:t>
            </w:r>
          </w:p>
          <w:p w:rsidR="0059566F" w:rsidRPr="00197F0A" w:rsidRDefault="0059566F" w:rsidP="00EB1242">
            <w:pPr>
              <w:pStyle w:val="rvps14"/>
              <w:rPr>
                <w:rStyle w:val="spanrvts0"/>
                <w:lang w:val="ru-RU" w:eastAsia="uk"/>
              </w:rPr>
            </w:pPr>
            <w:r w:rsidRPr="00197F0A">
              <w:rPr>
                <w:rStyle w:val="spanrvts0"/>
                <w:lang w:val="ru-RU" w:eastAsia="uk"/>
              </w:rPr>
              <w:t>Пропозиції щодо включення нових питань до проекту порядку денного загальних зборів повинні містити відповідні проекти рішень з цих питань (крім кумулятивного голосування).</w:t>
            </w:r>
          </w:p>
          <w:p w:rsidR="0059566F" w:rsidRPr="00197F0A" w:rsidRDefault="0059566F" w:rsidP="00EB1242">
            <w:pPr>
              <w:pStyle w:val="rvps14"/>
              <w:rPr>
                <w:rStyle w:val="spanrvts0"/>
                <w:lang w:val="ru-RU" w:eastAsia="uk"/>
              </w:rPr>
            </w:pPr>
            <w:r w:rsidRPr="00197F0A">
              <w:rPr>
                <w:rStyle w:val="spanrvts0"/>
                <w:lang w:val="ru-RU" w:eastAsia="uk"/>
              </w:rPr>
              <w:t>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проекту порядку денного та/або нові проекти рішень, а також кількості, типу та/або класу акцій, що належать кандидату, який пропонується таким акціонером до складу органів акціонерного товариства.</w:t>
            </w:r>
          </w:p>
          <w:p w:rsidR="0059566F" w:rsidRPr="00197F0A" w:rsidRDefault="0059566F" w:rsidP="00EB1242">
            <w:pPr>
              <w:pStyle w:val="rvps14"/>
              <w:rPr>
                <w:rStyle w:val="spanrvts0"/>
                <w:lang w:val="ru-RU" w:eastAsia="uk"/>
              </w:rPr>
            </w:pPr>
            <w:r w:rsidRPr="00197F0A">
              <w:rPr>
                <w:rStyle w:val="spanrvts0"/>
                <w:lang w:val="ru-RU" w:eastAsia="uk"/>
              </w:rPr>
              <w:t>Особа, яка скликає загальні збори, приймає рішення про включення пропозицій (нових питань порядку денного та/або нових проектів рішень з питань порядку денного) до проекту порядку денного загальних зборів та затверджує порядок денний загальних зборів не пізніше ніж за 15 днів до дати проведення загальних зборів, а стосовно кандидатів до складу органів акціонерного товариства - не пізніше ніж за чотири дні до дати проведення загальних зборів.</w:t>
            </w:r>
          </w:p>
          <w:p w:rsidR="0059566F" w:rsidRPr="00197F0A" w:rsidRDefault="0059566F" w:rsidP="00EB1242">
            <w:pPr>
              <w:pStyle w:val="rvps14"/>
              <w:rPr>
                <w:rStyle w:val="spanrvts0"/>
                <w:lang w:val="ru-RU" w:eastAsia="uk"/>
              </w:rPr>
            </w:pPr>
            <w:r w:rsidRPr="00197F0A">
              <w:rPr>
                <w:rStyle w:val="spanrvts0"/>
                <w:lang w:val="ru-RU" w:eastAsia="uk"/>
              </w:rPr>
              <w:t>Пропозиції акціонерів (акціонера), які (який) сукупно є власниками (власником) 5 і більше відсотків голосуючих акцій, а також пропозиції наглядової ради або ради директорів (якщо такі пропозиції можуть бути надані відповідно до статуту акціонерного товариства) підлягають обов'язковому включенню до проекту порядку денного загальних зборів. У такому разі рішення особи, яка скликає загальні збори, про включення питання до проекту порядку денного не приймається, а пропозиція вважається включеною до проекту порядку денного, якщо вона подана з дотриманням вимог цієї статті.</w:t>
            </w:r>
          </w:p>
          <w:p w:rsidR="0059566F" w:rsidRPr="00197F0A" w:rsidRDefault="0059566F" w:rsidP="00EB1242">
            <w:pPr>
              <w:pStyle w:val="rvps14"/>
              <w:rPr>
                <w:rStyle w:val="spanrvts0"/>
                <w:lang w:val="ru-RU" w:eastAsia="uk"/>
              </w:rPr>
            </w:pPr>
            <w:r w:rsidRPr="00197F0A">
              <w:rPr>
                <w:rStyle w:val="spanrvts0"/>
                <w:lang w:val="ru-RU" w:eastAsia="uk"/>
              </w:rPr>
              <w:t xml:space="preserve">Проекти рішень з питань, включених до порядку денного загальних зборів, запропоновані акціонерами, які володіють 5 і більше відсотками голосуючих акцій товариства, розміщуються на веб-сайті товариства </w:t>
            </w:r>
            <w:r>
              <w:rPr>
                <w:rStyle w:val="spanrvts0"/>
                <w:lang w:eastAsia="uk"/>
              </w:rPr>
              <w:t>https</w:t>
            </w:r>
            <w:r w:rsidRPr="00197F0A">
              <w:rPr>
                <w:rStyle w:val="spanrvts0"/>
                <w:lang w:val="ru-RU" w:eastAsia="uk"/>
              </w:rPr>
              <w:t>://</w:t>
            </w:r>
            <w:r>
              <w:rPr>
                <w:rStyle w:val="spanrvts0"/>
                <w:lang w:eastAsia="uk"/>
              </w:rPr>
              <w:t>tdchervonazirka</w:t>
            </w:r>
            <w:r w:rsidRPr="00197F0A">
              <w:rPr>
                <w:rStyle w:val="spanrvts0"/>
                <w:lang w:val="ru-RU" w:eastAsia="uk"/>
              </w:rPr>
              <w:t>.</w:t>
            </w:r>
            <w:r>
              <w:rPr>
                <w:rStyle w:val="spanrvts0"/>
                <w:lang w:eastAsia="uk"/>
              </w:rPr>
              <w:t>prat</w:t>
            </w:r>
            <w:r w:rsidRPr="00197F0A">
              <w:rPr>
                <w:rStyle w:val="spanrvts0"/>
                <w:lang w:val="ru-RU" w:eastAsia="uk"/>
              </w:rPr>
              <w:t>.</w:t>
            </w:r>
            <w:r>
              <w:rPr>
                <w:rStyle w:val="spanrvts0"/>
                <w:lang w:eastAsia="uk"/>
              </w:rPr>
              <w:t>in</w:t>
            </w:r>
            <w:r w:rsidRPr="00197F0A">
              <w:rPr>
                <w:rStyle w:val="spanrvts0"/>
                <w:lang w:val="ru-RU" w:eastAsia="uk"/>
              </w:rPr>
              <w:t>.</w:t>
            </w:r>
            <w:r>
              <w:rPr>
                <w:rStyle w:val="spanrvts0"/>
                <w:lang w:eastAsia="uk"/>
              </w:rPr>
              <w:t>ua</w:t>
            </w:r>
            <w:r w:rsidRPr="00197F0A">
              <w:rPr>
                <w:rStyle w:val="spanrvts0"/>
                <w:lang w:val="ru-RU" w:eastAsia="uk"/>
              </w:rPr>
              <w:t xml:space="preserve">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протягом двох робочих днів після їх отримання товариством.</w:t>
            </w:r>
          </w:p>
          <w:p w:rsidR="0059566F" w:rsidRPr="00197F0A" w:rsidRDefault="0059566F" w:rsidP="00EB1242">
            <w:pPr>
              <w:pStyle w:val="rvps14"/>
              <w:rPr>
                <w:rStyle w:val="spanrvts0"/>
                <w:lang w:val="ru-RU" w:eastAsia="uk"/>
              </w:rPr>
            </w:pPr>
            <w:r w:rsidRPr="00197F0A">
              <w:rPr>
                <w:rStyle w:val="spanrvts0"/>
                <w:lang w:val="ru-RU" w:eastAsia="uk"/>
              </w:rPr>
              <w:t xml:space="preserve">У разі подання акціонером пропозиції до проекту порядку денного загальних зборів щодо дострокового припинення повноважень голови колегіального виконавчого органу (особи, яка здійснює повноваження одноосібного виконавчого органу) або члена ради директорів - головного виконавчого директора одночасно обов'язково подається пропозиція щодо кандидатури для обрання голови колегіального </w:t>
            </w:r>
            <w:r w:rsidRPr="00197F0A">
              <w:rPr>
                <w:rStyle w:val="spanrvts0"/>
                <w:lang w:val="ru-RU" w:eastAsia="uk"/>
              </w:rPr>
              <w:lastRenderedPageBreak/>
              <w:t>виконавчого органу акціонерного товариства (особи, яка здійснює повноваження одноосібного виконавчого органу), члена ради директорів - головного виконавчого директора чи призначення особи, яка тимчасово здійснюватиме його повноваження.</w:t>
            </w:r>
          </w:p>
          <w:p w:rsidR="0059566F" w:rsidRPr="00197F0A" w:rsidRDefault="0059566F" w:rsidP="00EB1242">
            <w:pPr>
              <w:pStyle w:val="rvps14"/>
              <w:rPr>
                <w:rStyle w:val="spanrvts0"/>
                <w:lang w:val="ru-RU" w:eastAsia="uk"/>
              </w:rPr>
            </w:pPr>
            <w:r w:rsidRPr="00197F0A">
              <w:rPr>
                <w:rStyle w:val="spanrvts0"/>
                <w:lang w:val="ru-RU" w:eastAsia="uk"/>
              </w:rPr>
              <w:t>Пропозиції акціонерів до проекту порядку денного загальних зборів вносяться лише шляхом внесення нових проектів рішень з питань, включених до проекту порядку денного, та нових питань разом з проектами рішень з цих питань, а також шляхом включення запропонованих акціонерами кандидатів до складу органів акціонерного товариства до списку кандидатів, що виносяться на голосування на загальних зборах. Товариство не має права вносити зміни до запропонованих акціонерами питань, проектів рішень або інформації про кандидатів до складу органів акціонерного товариства.</w:t>
            </w:r>
          </w:p>
          <w:p w:rsidR="0059566F" w:rsidRPr="00197F0A" w:rsidRDefault="0059566F" w:rsidP="00EB1242">
            <w:pPr>
              <w:pStyle w:val="rvps14"/>
              <w:rPr>
                <w:rStyle w:val="spanrvts0"/>
                <w:lang w:val="ru-RU" w:eastAsia="uk"/>
              </w:rPr>
            </w:pPr>
            <w:r w:rsidRPr="00197F0A">
              <w:rPr>
                <w:rStyle w:val="spanrvts0"/>
                <w:lang w:val="ru-RU" w:eastAsia="uk"/>
              </w:rPr>
              <w:t>Рішення про відмову у включенні до проекту порядку денного загальних зборів пропозиції акціонерів (акціонера), які (який) сукупно є власниками (власником) 5 і більше відсотків голосуючих акцій може бути прийнято виключно у разі:</w:t>
            </w:r>
          </w:p>
          <w:p w:rsidR="0059566F" w:rsidRPr="00197F0A" w:rsidRDefault="0059566F" w:rsidP="00EB1242">
            <w:pPr>
              <w:pStyle w:val="rvps14"/>
              <w:rPr>
                <w:rStyle w:val="spanrvts0"/>
                <w:lang w:val="ru-RU" w:eastAsia="uk"/>
              </w:rPr>
            </w:pPr>
            <w:r w:rsidRPr="00197F0A">
              <w:rPr>
                <w:rStyle w:val="spanrvts0"/>
                <w:lang w:val="ru-RU" w:eastAsia="uk"/>
              </w:rPr>
              <w:t>1) недотримання строку, встановленого для подання пропозиції;</w:t>
            </w:r>
          </w:p>
          <w:p w:rsidR="0059566F" w:rsidRPr="00197F0A" w:rsidRDefault="0059566F" w:rsidP="00EB1242">
            <w:pPr>
              <w:pStyle w:val="rvps14"/>
              <w:rPr>
                <w:rStyle w:val="spanrvts0"/>
                <w:lang w:val="ru-RU" w:eastAsia="uk"/>
              </w:rPr>
            </w:pPr>
            <w:r w:rsidRPr="00197F0A">
              <w:rPr>
                <w:rStyle w:val="spanrvts0"/>
                <w:lang w:val="ru-RU" w:eastAsia="uk"/>
              </w:rPr>
              <w:t>2) неповноти даних, передбачених для подання пропозиції.</w:t>
            </w:r>
          </w:p>
          <w:p w:rsidR="0059566F" w:rsidRPr="00197F0A" w:rsidRDefault="0059566F" w:rsidP="00EB1242">
            <w:pPr>
              <w:pStyle w:val="rvps14"/>
              <w:rPr>
                <w:rStyle w:val="spanrvts0"/>
                <w:lang w:val="ru-RU" w:eastAsia="uk"/>
              </w:rPr>
            </w:pPr>
            <w:r w:rsidRPr="00197F0A">
              <w:rPr>
                <w:rStyle w:val="spanrvts0"/>
                <w:lang w:val="ru-RU" w:eastAsia="uk"/>
              </w:rPr>
              <w:t>Рішення про відмову у включенні до проекту порядку денного загальних зборів пропозицій акціонерів (акціонера), яким (якому) належать менше 5 відсотків голосуючих акцій, може бути прийнято з підстав, передбачених абзацами другим та/або третім цієї частини, у разі неподання жодного проекту рішення із запропонованих питань порядку денного або з інших підстав, визначених статутом акціонерного товариства та/або положенням про загальні збори акціонерів.</w:t>
            </w:r>
          </w:p>
          <w:p w:rsidR="00230FCE" w:rsidRPr="00197F0A" w:rsidRDefault="0059566F" w:rsidP="00EB1242">
            <w:pPr>
              <w:pStyle w:val="rvps14"/>
              <w:rPr>
                <w:rStyle w:val="spanrvts0"/>
                <w:lang w:val="ru-RU" w:eastAsia="uk"/>
              </w:rPr>
            </w:pPr>
            <w:r w:rsidRPr="00197F0A">
              <w:rPr>
                <w:rStyle w:val="spanrvts0"/>
                <w:lang w:val="ru-RU" w:eastAsia="uk"/>
              </w:rPr>
              <w:t>Пропозиція акціонера до проекту порядку денного загальних зборів та мотивоване рішення про відмову у включенні пропозиції надсилаються акціонеру в письмовій формі.</w:t>
            </w:r>
          </w:p>
        </w:tc>
      </w:tr>
      <w:tr w:rsidR="00230FCE" w:rsidRPr="00230FCE" w:rsidTr="00197F0A">
        <w:trPr>
          <w:trHeight w:val="60"/>
        </w:trPr>
        <w:tc>
          <w:tcPr>
            <w:tcW w:w="1304"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230FCE" w:rsidRPr="00230FCE" w:rsidRDefault="00230FCE" w:rsidP="00EB1242">
            <w:pPr>
              <w:pStyle w:val="rvps12"/>
              <w:jc w:val="left"/>
              <w:rPr>
                <w:rStyle w:val="spanrvts0"/>
                <w:lang w:val="uk" w:eastAsia="uk"/>
              </w:rPr>
            </w:pPr>
            <w:r w:rsidRPr="00230FCE">
              <w:rPr>
                <w:rStyle w:val="spanrvts0"/>
                <w:b/>
                <w:bCs/>
                <w:lang w:val="uk" w:eastAsia="uk"/>
              </w:rPr>
              <w:lastRenderedPageBreak/>
              <w:t>Порядок участі та голосування на загальних зборах за довіреністю</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59566F" w:rsidRPr="00197F0A" w:rsidRDefault="00855E73" w:rsidP="00855E73">
            <w:pPr>
              <w:pStyle w:val="rvps12"/>
              <w:jc w:val="left"/>
              <w:rPr>
                <w:rStyle w:val="spanrvts0"/>
                <w:lang w:val="uk" w:eastAsia="uk"/>
              </w:rPr>
            </w:pPr>
            <w:r w:rsidRPr="00197F0A">
              <w:rPr>
                <w:rStyle w:val="spanrvts0"/>
                <w:lang w:val="uk" w:eastAsia="uk"/>
              </w:rPr>
              <w:t xml:space="preserve"> </w:t>
            </w:r>
            <w:r w:rsidR="0059566F" w:rsidRPr="00197F0A">
              <w:rPr>
                <w:rStyle w:val="spanrvts0"/>
                <w:lang w:val="uk" w:eastAsia="uk"/>
              </w:rPr>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w:t>
            </w:r>
          </w:p>
          <w:p w:rsidR="0059566F" w:rsidRPr="00197F0A" w:rsidRDefault="0059566F" w:rsidP="00855E73">
            <w:pPr>
              <w:pStyle w:val="rvps12"/>
              <w:jc w:val="left"/>
              <w:rPr>
                <w:rStyle w:val="spanrvts0"/>
                <w:lang w:val="ru-RU" w:eastAsia="uk"/>
              </w:rPr>
            </w:pPr>
            <w:r w:rsidRPr="00197F0A">
              <w:rPr>
                <w:rStyle w:val="spanrvts0"/>
                <w:lang w:val="ru-RU" w:eastAsia="uk"/>
              </w:rPr>
              <w:t xml:space="preserve">Одна акція надає акціонеру один голос для вирішення кожного з питань, винесених на голосування на Загальних зборах, крім проведення кумулятивного голосування. </w:t>
            </w:r>
          </w:p>
          <w:p w:rsidR="0059566F" w:rsidRPr="00197F0A" w:rsidRDefault="0059566F" w:rsidP="00855E73">
            <w:pPr>
              <w:pStyle w:val="rvps12"/>
              <w:jc w:val="left"/>
              <w:rPr>
                <w:rStyle w:val="spanrvts0"/>
                <w:lang w:val="ru-RU" w:eastAsia="uk"/>
              </w:rPr>
            </w:pPr>
            <w:r w:rsidRPr="00197F0A">
              <w:rPr>
                <w:rStyle w:val="spanrvts0"/>
                <w:lang w:val="ru-RU" w:eastAsia="uk"/>
              </w:rPr>
              <w:t xml:space="preserve">Всі акціонери, які подали хоча б один Бюлетень для голосування у Загальних зборах, підписаний уповноваженою на те особою, вважаються такими, що прийняли участь у Загальних зборах та є зареєстрованими для участі у Загальних зборах. Бюлетені для голосування на загальних зборах акціонерів можуть подаватися депозитарній установі, яка обслуговує рахунок в цінних паперах такого акціонера, на якому обліковуються належні акціонеру акції Товариства, на її адресу електронної пошти,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або в паперовій формі. </w:t>
            </w:r>
          </w:p>
          <w:p w:rsidR="0059566F" w:rsidRPr="00197F0A" w:rsidRDefault="0059566F" w:rsidP="00855E73">
            <w:pPr>
              <w:pStyle w:val="rvps12"/>
              <w:jc w:val="left"/>
              <w:rPr>
                <w:rStyle w:val="spanrvts0"/>
                <w:lang w:val="ru-RU" w:eastAsia="uk"/>
              </w:rPr>
            </w:pPr>
            <w:r w:rsidRPr="00197F0A">
              <w:rPr>
                <w:rStyle w:val="spanrvts0"/>
                <w:lang w:val="ru-RU" w:eastAsia="uk"/>
              </w:rPr>
              <w:t xml:space="preserve">У разі подання бюлетеня для голосування в паперовій формі, підпис акціонера (його представника) на бюлетені засвідчується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Якщо бюлетень для голосування складається з кількох аркушів, кожен аркуш </w:t>
            </w:r>
            <w:r w:rsidRPr="00197F0A">
              <w:rPr>
                <w:rStyle w:val="spanrvts0"/>
                <w:lang w:val="ru-RU" w:eastAsia="uk"/>
              </w:rPr>
              <w:lastRenderedPageBreak/>
              <w:t xml:space="preserve">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 </w:t>
            </w:r>
          </w:p>
          <w:p w:rsidR="0059566F" w:rsidRPr="00197F0A" w:rsidRDefault="0059566F" w:rsidP="00855E73">
            <w:pPr>
              <w:pStyle w:val="rvps12"/>
              <w:jc w:val="left"/>
              <w:rPr>
                <w:rStyle w:val="spanrvts0"/>
                <w:lang w:val="ru-RU" w:eastAsia="uk"/>
              </w:rPr>
            </w:pPr>
            <w:r w:rsidRPr="00197F0A">
              <w:rPr>
                <w:rStyle w:val="spanrvts0"/>
                <w:lang w:val="ru-RU" w:eastAsia="uk"/>
              </w:rPr>
              <w:t xml:space="preserve">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копії, засвідчені належним чином, відповідно до вимог діючого законодавства. Бюлетень, визнається не дійсним для голосування, якщо його форма та/або текст відрізняється від зразка, затвердженого Наглядовою радою та розміщеного на сайті Товариства. Акціонер (його представник) в період проведення голосування може подати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w:t>
            </w:r>
          </w:p>
          <w:p w:rsidR="0059566F" w:rsidRPr="00197F0A" w:rsidRDefault="0059566F" w:rsidP="00855E73">
            <w:pPr>
              <w:pStyle w:val="rvps12"/>
              <w:jc w:val="left"/>
              <w:rPr>
                <w:rStyle w:val="spanrvts0"/>
                <w:lang w:val="ru-RU" w:eastAsia="uk"/>
              </w:rPr>
            </w:pPr>
            <w:r w:rsidRPr="00197F0A">
              <w:rPr>
                <w:rStyle w:val="spanrvts0"/>
                <w:lang w:val="ru-RU" w:eastAsia="uk"/>
              </w:rPr>
              <w:t xml:space="preserve">Кількість голосів акціонера в бюлетені для голосуванні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 </w:t>
            </w:r>
          </w:p>
          <w:p w:rsidR="0059566F" w:rsidRPr="00197F0A" w:rsidRDefault="0059566F" w:rsidP="00855E73">
            <w:pPr>
              <w:pStyle w:val="rvps12"/>
              <w:jc w:val="left"/>
              <w:rPr>
                <w:rStyle w:val="spanrvts0"/>
                <w:lang w:val="ru-RU" w:eastAsia="uk"/>
              </w:rPr>
            </w:pPr>
            <w:r w:rsidRPr="00197F0A">
              <w:rPr>
                <w:rStyle w:val="spanrvts0"/>
                <w:lang w:val="ru-RU" w:eastAsia="uk"/>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обслуговуються такою депозитарною установою. </w:t>
            </w:r>
          </w:p>
          <w:p w:rsidR="0059566F" w:rsidRPr="00197F0A" w:rsidRDefault="0059566F" w:rsidP="00855E73">
            <w:pPr>
              <w:pStyle w:val="rvps12"/>
              <w:jc w:val="left"/>
              <w:rPr>
                <w:rStyle w:val="spanrvts0"/>
                <w:lang w:val="ru-RU" w:eastAsia="uk"/>
              </w:rPr>
            </w:pPr>
            <w:r w:rsidRPr="00197F0A">
              <w:rPr>
                <w:rStyle w:val="spanrvts0"/>
                <w:lang w:val="ru-RU" w:eastAsia="uk"/>
              </w:rPr>
              <w:t xml:space="preserve">У зв'язку з цим акціонерам необхідно завчасно самостійно звернутись до депозитарної установи, яка обслуговує рахунок в цінних паперах, на якому обліковуються належні акціонеру акції Товариства, для визначення кількості належних акціонеру голосів. </w:t>
            </w:r>
          </w:p>
          <w:p w:rsidR="0059566F" w:rsidRPr="00197F0A" w:rsidRDefault="0059566F" w:rsidP="00855E73">
            <w:pPr>
              <w:pStyle w:val="rvps12"/>
              <w:jc w:val="left"/>
              <w:rPr>
                <w:rStyle w:val="spanrvts0"/>
                <w:lang w:val="ru-RU" w:eastAsia="uk"/>
              </w:rPr>
            </w:pPr>
            <w:r w:rsidRPr="00197F0A">
              <w:rPr>
                <w:rStyle w:val="spanrvts0"/>
                <w:lang w:val="ru-RU" w:eastAsia="uk"/>
              </w:rPr>
              <w:t>Представником акціонера на загальних зборах може бути фізична особа, уповноважена особа юридичної особи або уповноважена особа держави чи територіальної громади.</w:t>
            </w:r>
          </w:p>
          <w:p w:rsidR="0059566F" w:rsidRPr="00197F0A" w:rsidRDefault="0059566F" w:rsidP="00855E73">
            <w:pPr>
              <w:pStyle w:val="rvps12"/>
              <w:jc w:val="left"/>
              <w:rPr>
                <w:rStyle w:val="spanrvts0"/>
                <w:lang w:val="ru-RU" w:eastAsia="uk"/>
              </w:rPr>
            </w:pPr>
            <w:r w:rsidRPr="00197F0A">
              <w:rPr>
                <w:rStyle w:val="spanrvts0"/>
                <w:lang w:val="ru-RU" w:eastAsia="uk"/>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w:t>
            </w:r>
          </w:p>
          <w:p w:rsidR="0059566F" w:rsidRPr="00197F0A" w:rsidRDefault="0059566F" w:rsidP="00855E73">
            <w:pPr>
              <w:pStyle w:val="rvps12"/>
              <w:jc w:val="left"/>
              <w:rPr>
                <w:rStyle w:val="spanrvts0"/>
                <w:lang w:val="ru-RU" w:eastAsia="uk"/>
              </w:rPr>
            </w:pPr>
            <w:r w:rsidRPr="00197F0A">
              <w:rPr>
                <w:rStyle w:val="spanrvts0"/>
                <w:lang w:val="ru-RU" w:eastAsia="uk"/>
              </w:rPr>
              <w:t>Акціонер має право призначити свого представника безстроково або на певний строк.</w:t>
            </w:r>
          </w:p>
          <w:p w:rsidR="0059566F" w:rsidRPr="00197F0A" w:rsidRDefault="0059566F" w:rsidP="00855E73">
            <w:pPr>
              <w:pStyle w:val="rvps12"/>
              <w:jc w:val="left"/>
              <w:rPr>
                <w:rStyle w:val="spanrvts0"/>
                <w:lang w:val="ru-RU" w:eastAsia="uk"/>
              </w:rPr>
            </w:pPr>
            <w:r w:rsidRPr="00197F0A">
              <w:rPr>
                <w:rStyle w:val="spanrvts0"/>
                <w:lang w:val="ru-RU" w:eastAsia="uk"/>
              </w:rPr>
              <w:t>Довіреність на право участі та голосування на загальних зборах, видана фізичною особою, посвідчується нотаріусом чи іншою посадовою особою, яка вчиняє нотаріальні дії, а також може посвідчуватися депозитарною установою у порядку, встановленому Національною комісією з цінних паперів та фондового ринку.</w:t>
            </w:r>
          </w:p>
          <w:p w:rsidR="0059566F" w:rsidRPr="00197F0A" w:rsidRDefault="0059566F" w:rsidP="00855E73">
            <w:pPr>
              <w:pStyle w:val="rvps12"/>
              <w:jc w:val="left"/>
              <w:rPr>
                <w:rStyle w:val="spanrvts0"/>
                <w:lang w:val="ru-RU" w:eastAsia="uk"/>
              </w:rPr>
            </w:pPr>
            <w:r w:rsidRPr="00197F0A">
              <w:rPr>
                <w:rStyle w:val="spanrvts0"/>
                <w:lang w:val="ru-RU" w:eastAsia="uk"/>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установчими документами такої юридичної особи.</w:t>
            </w:r>
          </w:p>
          <w:p w:rsidR="0059566F" w:rsidRPr="00197F0A" w:rsidRDefault="0059566F" w:rsidP="00855E73">
            <w:pPr>
              <w:pStyle w:val="rvps12"/>
              <w:jc w:val="left"/>
              <w:rPr>
                <w:rStyle w:val="spanrvts0"/>
                <w:lang w:val="ru-RU" w:eastAsia="uk"/>
              </w:rPr>
            </w:pPr>
            <w:r w:rsidRPr="00197F0A">
              <w:rPr>
                <w:rStyle w:val="spanrvts0"/>
                <w:lang w:val="ru-RU" w:eastAsia="uk"/>
              </w:rPr>
              <w:t>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59566F" w:rsidRPr="00197F0A" w:rsidRDefault="0059566F" w:rsidP="00855E73">
            <w:pPr>
              <w:pStyle w:val="rvps12"/>
              <w:jc w:val="left"/>
              <w:rPr>
                <w:rStyle w:val="spanrvts0"/>
                <w:lang w:val="ru-RU" w:eastAsia="uk"/>
              </w:rPr>
            </w:pPr>
            <w:r w:rsidRPr="00197F0A">
              <w:rPr>
                <w:rStyle w:val="spanrvts0"/>
                <w:lang w:val="ru-RU" w:eastAsia="uk"/>
              </w:rPr>
              <w:t>Акціонер має право видати довіреність на право участі та голосування на загальних зборах декільком своїм представникам.</w:t>
            </w:r>
          </w:p>
          <w:p w:rsidR="0059566F" w:rsidRPr="00197F0A" w:rsidRDefault="0059566F" w:rsidP="00855E73">
            <w:pPr>
              <w:pStyle w:val="rvps12"/>
              <w:jc w:val="left"/>
              <w:rPr>
                <w:rStyle w:val="spanrvts0"/>
                <w:lang w:val="ru-RU" w:eastAsia="uk"/>
              </w:rPr>
            </w:pPr>
            <w:r w:rsidRPr="00197F0A">
              <w:rPr>
                <w:rStyle w:val="spanrvts0"/>
                <w:lang w:val="ru-RU" w:eastAsia="uk"/>
              </w:rPr>
              <w:t xml:space="preserve">У разі якщо для участі в загальних зборах з'явилися декілька </w:t>
            </w:r>
            <w:r w:rsidRPr="00197F0A">
              <w:rPr>
                <w:rStyle w:val="spanrvts0"/>
                <w:lang w:val="ru-RU" w:eastAsia="uk"/>
              </w:rPr>
              <w:lastRenderedPageBreak/>
              <w:t>представників акціонера, здійснюється ідентифікація та реєстрація того представника, довіреність якому видано пізніше.</w:t>
            </w:r>
          </w:p>
          <w:p w:rsidR="0059566F" w:rsidRPr="00197F0A" w:rsidRDefault="0059566F" w:rsidP="00855E73">
            <w:pPr>
              <w:pStyle w:val="rvps12"/>
              <w:jc w:val="left"/>
              <w:rPr>
                <w:rStyle w:val="spanrvts0"/>
                <w:lang w:val="ru-RU" w:eastAsia="uk"/>
              </w:rPr>
            </w:pPr>
            <w:r w:rsidRPr="00197F0A">
              <w:rPr>
                <w:rStyle w:val="spanrvts0"/>
                <w:lang w:val="ru-RU" w:eastAsia="uk"/>
              </w:rPr>
              <w:t>Видача довіреності на право участі та голосування на загальних зборах не виключає право участі у цих загальних зборах акціонера, який видав довіреність, замість свого представника.</w:t>
            </w:r>
          </w:p>
          <w:p w:rsidR="0059566F" w:rsidRPr="00197F0A" w:rsidRDefault="0059566F" w:rsidP="00855E73">
            <w:pPr>
              <w:pStyle w:val="rvps12"/>
              <w:jc w:val="left"/>
              <w:rPr>
                <w:rStyle w:val="spanrvts0"/>
                <w:lang w:val="ru-RU" w:eastAsia="uk"/>
              </w:rPr>
            </w:pPr>
            <w:r w:rsidRPr="00197F0A">
              <w:rPr>
                <w:rStyle w:val="spanrvts0"/>
                <w:lang w:val="ru-RU" w:eastAsia="uk"/>
              </w:rPr>
              <w:t>Акціонер має право у будь-який час до закінчення строку, відведеного для реєстрації учасників загальних зборів, відкликати або замінити свого представника, повідомивши про це реєстраційну комісію, або взяти участь у загальних зборах особисто.</w:t>
            </w:r>
          </w:p>
          <w:p w:rsidR="0059566F" w:rsidRPr="00197F0A" w:rsidRDefault="0059566F" w:rsidP="00855E73">
            <w:pPr>
              <w:pStyle w:val="rvps12"/>
              <w:jc w:val="left"/>
              <w:rPr>
                <w:rStyle w:val="spanrvts0"/>
                <w:lang w:val="ru-RU" w:eastAsia="uk"/>
              </w:rPr>
            </w:pPr>
            <w:r w:rsidRPr="00197F0A">
              <w:rPr>
                <w:rStyle w:val="spanrvts0"/>
                <w:lang w:val="ru-RU" w:eastAsia="uk"/>
              </w:rPr>
              <w:t>У разі проведення очних загальних зборів повідомлення акціонером відповідного органу товариства про заміну або відкликання свого представника здійснюється в письмовій формі та вважається здійсненим у разі отримання такого повідомлення реєстраційною комісією у строки, передбачені абзацом четвертим цієї частини.</w:t>
            </w:r>
          </w:p>
          <w:p w:rsidR="0059566F" w:rsidRPr="00197F0A" w:rsidRDefault="0059566F" w:rsidP="00855E73">
            <w:pPr>
              <w:pStyle w:val="rvps12"/>
              <w:jc w:val="left"/>
              <w:rPr>
                <w:rStyle w:val="spanrvts0"/>
                <w:lang w:val="ru-RU" w:eastAsia="uk"/>
              </w:rPr>
            </w:pPr>
            <w:r w:rsidRPr="00197F0A">
              <w:rPr>
                <w:rStyle w:val="spanrvts0"/>
                <w:lang w:val="ru-RU" w:eastAsia="uk"/>
              </w:rPr>
              <w:t>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цією частиною.</w:t>
            </w:r>
          </w:p>
          <w:p w:rsidR="0059566F" w:rsidRPr="00197F0A" w:rsidRDefault="0059566F" w:rsidP="00855E73">
            <w:pPr>
              <w:pStyle w:val="rvps12"/>
              <w:jc w:val="left"/>
              <w:rPr>
                <w:rStyle w:val="spanrvts0"/>
                <w:lang w:val="ru-RU" w:eastAsia="uk"/>
              </w:rPr>
            </w:pPr>
            <w:r w:rsidRPr="00197F0A">
              <w:rPr>
                <w:rStyle w:val="spanrvts0"/>
                <w:lang w:val="ru-RU" w:eastAsia="uk"/>
              </w:rPr>
              <w:t>Особа вважається такою, що має конфлікт інтересів, якщо вона, зокрема, є:</w:t>
            </w:r>
          </w:p>
          <w:p w:rsidR="0059566F" w:rsidRPr="00197F0A" w:rsidRDefault="0059566F" w:rsidP="00855E73">
            <w:pPr>
              <w:pStyle w:val="rvps12"/>
              <w:jc w:val="left"/>
              <w:rPr>
                <w:rStyle w:val="spanrvts0"/>
                <w:lang w:val="ru-RU" w:eastAsia="uk"/>
              </w:rPr>
            </w:pPr>
            <w:r w:rsidRPr="00197F0A">
              <w:rPr>
                <w:rStyle w:val="spanrvts0"/>
                <w:lang w:val="ru-RU" w:eastAsia="uk"/>
              </w:rPr>
              <w:t>1) власником контрольного пакета акцій такого акціонерного товариства або іншою особою, яка перебуває під контролем такого власника;</w:t>
            </w:r>
          </w:p>
          <w:p w:rsidR="0059566F" w:rsidRPr="00197F0A" w:rsidRDefault="0059566F" w:rsidP="00855E73">
            <w:pPr>
              <w:pStyle w:val="rvps12"/>
              <w:jc w:val="left"/>
              <w:rPr>
                <w:rStyle w:val="spanrvts0"/>
                <w:lang w:val="ru-RU" w:eastAsia="uk"/>
              </w:rPr>
            </w:pPr>
            <w:r w:rsidRPr="00197F0A">
              <w:rPr>
                <w:rStyle w:val="spanrvts0"/>
                <w:lang w:val="ru-RU" w:eastAsia="uk"/>
              </w:rPr>
              <w:t>2) членом виконавчого органу або наглядової ради, ради директорів:</w:t>
            </w:r>
          </w:p>
          <w:p w:rsidR="0059566F" w:rsidRPr="00197F0A" w:rsidRDefault="0059566F" w:rsidP="00855E73">
            <w:pPr>
              <w:pStyle w:val="rvps12"/>
              <w:jc w:val="left"/>
              <w:rPr>
                <w:rStyle w:val="spanrvts0"/>
                <w:lang w:val="ru-RU" w:eastAsia="uk"/>
              </w:rPr>
            </w:pPr>
            <w:r w:rsidRPr="00197F0A">
              <w:rPr>
                <w:rStyle w:val="spanrvts0"/>
                <w:lang w:val="ru-RU" w:eastAsia="uk"/>
              </w:rPr>
              <w:t>такого акціонерного товариства;</w:t>
            </w:r>
          </w:p>
          <w:p w:rsidR="0059566F" w:rsidRPr="00197F0A" w:rsidRDefault="0059566F" w:rsidP="00855E73">
            <w:pPr>
              <w:pStyle w:val="rvps12"/>
              <w:jc w:val="left"/>
              <w:rPr>
                <w:rStyle w:val="spanrvts0"/>
                <w:lang w:val="ru-RU" w:eastAsia="uk"/>
              </w:rPr>
            </w:pPr>
            <w:r w:rsidRPr="00197F0A">
              <w:rPr>
                <w:rStyle w:val="spanrvts0"/>
                <w:lang w:val="ru-RU" w:eastAsia="uk"/>
              </w:rPr>
              <w:t>юридичної особи - іншого акціонера, який є власником контрольного пакета акцій такого акціонерного товариства;</w:t>
            </w:r>
          </w:p>
          <w:p w:rsidR="0059566F" w:rsidRPr="00197F0A" w:rsidRDefault="0059566F" w:rsidP="00855E73">
            <w:pPr>
              <w:pStyle w:val="rvps12"/>
              <w:jc w:val="left"/>
              <w:rPr>
                <w:rStyle w:val="spanrvts0"/>
                <w:lang w:val="ru-RU" w:eastAsia="uk"/>
              </w:rPr>
            </w:pPr>
            <w:r w:rsidRPr="00197F0A">
              <w:rPr>
                <w:rStyle w:val="spanrvts0"/>
                <w:lang w:val="ru-RU" w:eastAsia="uk"/>
              </w:rPr>
              <w:t>юридичної особи, яка перебуває під контролем власника контрольного пакета акцій такого акціонерного товариства;</w:t>
            </w:r>
          </w:p>
          <w:p w:rsidR="0059566F" w:rsidRPr="00197F0A" w:rsidRDefault="0059566F" w:rsidP="00855E73">
            <w:pPr>
              <w:pStyle w:val="rvps12"/>
              <w:jc w:val="left"/>
              <w:rPr>
                <w:rStyle w:val="spanrvts0"/>
                <w:lang w:val="ru-RU" w:eastAsia="uk"/>
              </w:rPr>
            </w:pPr>
            <w:r w:rsidRPr="00197F0A">
              <w:rPr>
                <w:rStyle w:val="spanrvts0"/>
                <w:lang w:val="ru-RU" w:eastAsia="uk"/>
              </w:rPr>
              <w:t>3) працівником або ключовим партнером з аудиту будь-якої з таких юридичних осіб:</w:t>
            </w:r>
          </w:p>
          <w:p w:rsidR="0059566F" w:rsidRPr="00197F0A" w:rsidRDefault="0059566F" w:rsidP="00855E73">
            <w:pPr>
              <w:pStyle w:val="rvps12"/>
              <w:jc w:val="left"/>
              <w:rPr>
                <w:rStyle w:val="spanrvts0"/>
                <w:lang w:val="ru-RU" w:eastAsia="uk"/>
              </w:rPr>
            </w:pPr>
            <w:r w:rsidRPr="00197F0A">
              <w:rPr>
                <w:rStyle w:val="spanrvts0"/>
                <w:lang w:val="ru-RU" w:eastAsia="uk"/>
              </w:rPr>
              <w:t>такого акціонерного товариства;</w:t>
            </w:r>
          </w:p>
          <w:p w:rsidR="0059566F" w:rsidRPr="00197F0A" w:rsidRDefault="0059566F" w:rsidP="00855E73">
            <w:pPr>
              <w:pStyle w:val="rvps12"/>
              <w:jc w:val="left"/>
              <w:rPr>
                <w:rStyle w:val="spanrvts0"/>
                <w:lang w:val="ru-RU" w:eastAsia="uk"/>
              </w:rPr>
            </w:pPr>
            <w:r w:rsidRPr="00197F0A">
              <w:rPr>
                <w:rStyle w:val="spanrvts0"/>
                <w:lang w:val="ru-RU" w:eastAsia="uk"/>
              </w:rPr>
              <w:t>юридичної особи - іншого акціонера, який є власником контрольного пакета акцій такого акціонерного товариства;</w:t>
            </w:r>
          </w:p>
          <w:p w:rsidR="0059566F" w:rsidRPr="00197F0A" w:rsidRDefault="0059566F" w:rsidP="00855E73">
            <w:pPr>
              <w:pStyle w:val="rvps12"/>
              <w:jc w:val="left"/>
              <w:rPr>
                <w:rStyle w:val="spanrvts0"/>
                <w:lang w:val="ru-RU" w:eastAsia="uk"/>
              </w:rPr>
            </w:pPr>
            <w:r w:rsidRPr="00197F0A">
              <w:rPr>
                <w:rStyle w:val="spanrvts0"/>
                <w:lang w:val="ru-RU" w:eastAsia="uk"/>
              </w:rPr>
              <w:t>юридичної особи, яка перебуває під контролем власника контрольного пакета акцій такого акціонерного товариства;</w:t>
            </w:r>
          </w:p>
          <w:p w:rsidR="0059566F" w:rsidRPr="00197F0A" w:rsidRDefault="0059566F" w:rsidP="00855E73">
            <w:pPr>
              <w:pStyle w:val="rvps12"/>
              <w:jc w:val="left"/>
              <w:rPr>
                <w:rStyle w:val="spanrvts0"/>
                <w:lang w:val="ru-RU" w:eastAsia="uk"/>
              </w:rPr>
            </w:pPr>
            <w:r w:rsidRPr="00197F0A">
              <w:rPr>
                <w:rStyle w:val="spanrvts0"/>
                <w:lang w:val="ru-RU" w:eastAsia="uk"/>
              </w:rPr>
              <w:t>4) особою, пов'язаною родинними відносинами з будь-якою фізичною особою, зазначеною у пунктах 1-3 цієї частини.</w:t>
            </w:r>
          </w:p>
          <w:p w:rsidR="0059566F" w:rsidRPr="00197F0A" w:rsidRDefault="0059566F" w:rsidP="00855E73">
            <w:pPr>
              <w:pStyle w:val="rvps12"/>
              <w:jc w:val="left"/>
              <w:rPr>
                <w:rStyle w:val="spanrvts0"/>
                <w:lang w:val="ru-RU" w:eastAsia="uk"/>
              </w:rPr>
            </w:pPr>
            <w:r w:rsidRPr="00197F0A">
              <w:rPr>
                <w:rStyle w:val="spanrvts0"/>
                <w:lang w:val="ru-RU" w:eastAsia="uk"/>
              </w:rPr>
              <w:t>Потенційний представник у передбачених цією частиною випадках повинен надати акціонеру інформацію про будь-які факти, які мають значення для прийняття акціонером рішення, пов'язаного з оцінкою ризику того, що така особа діятиме в інших інтересах, ніж інтереси акціонера, під час участі у загальних зборах.</w:t>
            </w:r>
          </w:p>
          <w:p w:rsidR="0059566F" w:rsidRPr="00197F0A" w:rsidRDefault="0059566F" w:rsidP="00855E73">
            <w:pPr>
              <w:pStyle w:val="rvps12"/>
              <w:jc w:val="left"/>
              <w:rPr>
                <w:rStyle w:val="spanrvts0"/>
                <w:lang w:val="ru-RU" w:eastAsia="uk"/>
              </w:rPr>
            </w:pPr>
            <w:r w:rsidRPr="00197F0A">
              <w:rPr>
                <w:rStyle w:val="spanrvts0"/>
                <w:lang w:val="ru-RU" w:eastAsia="uk"/>
              </w:rPr>
              <w:t>Потенційний представник, який отримав довіреність, повинен відмовитися від представництва у разі невиконання вимог цієї частини.</w:t>
            </w:r>
          </w:p>
          <w:p w:rsidR="0059566F" w:rsidRPr="00197F0A" w:rsidRDefault="0059566F" w:rsidP="00855E73">
            <w:pPr>
              <w:pStyle w:val="rvps12"/>
              <w:jc w:val="left"/>
              <w:rPr>
                <w:rStyle w:val="spanrvts0"/>
                <w:lang w:val="ru-RU" w:eastAsia="uk"/>
              </w:rPr>
            </w:pPr>
            <w:r w:rsidRPr="00197F0A">
              <w:rPr>
                <w:rStyle w:val="spanrvts0"/>
                <w:lang w:val="ru-RU" w:eastAsia="uk"/>
              </w:rPr>
              <w:t>Потенційний представник може отримати довіреність від більше ніж одного акціонера без обмеження кількості представлених таким чином акціонерів. Потенційний представник, який отримав довіреності від кількох акціонерів, може обрати різні варіанти голосування за кожного акціонера, якого він представляє.</w:t>
            </w:r>
          </w:p>
          <w:p w:rsidR="00230FCE" w:rsidRPr="00197F0A" w:rsidRDefault="0059566F" w:rsidP="00855E73">
            <w:pPr>
              <w:pStyle w:val="rvps12"/>
              <w:jc w:val="left"/>
              <w:rPr>
                <w:rStyle w:val="spanrvts0"/>
                <w:lang w:val="ru-RU" w:eastAsia="uk"/>
              </w:rPr>
            </w:pPr>
            <w:r w:rsidRPr="00197F0A">
              <w:rPr>
                <w:rStyle w:val="spanrvts0"/>
                <w:lang w:val="ru-RU" w:eastAsia="uk"/>
              </w:rPr>
              <w:t>У разі внесення змін до проекту порядку денного загальних зборів акціонерів особа, яка скликає загальні збори, не пізніше ніж за 10 днів до дати їх проведення повідомляє акціонерів про відповідні зміни у той самий спосіб та тих самих осіб, яким було надіслано повідомлення про проведення загальних зборів.</w:t>
            </w:r>
          </w:p>
        </w:tc>
      </w:tr>
      <w:tr w:rsidR="00230FCE" w:rsidRPr="00230FCE" w:rsidTr="00197F0A">
        <w:trPr>
          <w:trHeight w:val="60"/>
        </w:trPr>
        <w:tc>
          <w:tcPr>
            <w:tcW w:w="1304"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230FCE" w:rsidRPr="00230FCE" w:rsidRDefault="00230FCE" w:rsidP="00EB1242">
            <w:pPr>
              <w:pStyle w:val="rvps14"/>
              <w:rPr>
                <w:rStyle w:val="spanrvts0"/>
                <w:lang w:val="uk" w:eastAsia="uk"/>
              </w:rPr>
            </w:pPr>
            <w:r w:rsidRPr="00230FCE">
              <w:rPr>
                <w:rStyle w:val="spanrvts0"/>
                <w:b/>
                <w:bCs/>
                <w:lang w:val="uk" w:eastAsia="uk"/>
              </w:rPr>
              <w:lastRenderedPageBreak/>
              <w:t>Дата і час початку та завершення голосування за допомогою авторизованої електронної системи</w:t>
            </w:r>
            <w:r w:rsidRPr="00230FCE">
              <w:rPr>
                <w:rStyle w:val="spanrvts37"/>
                <w:b w:val="0"/>
                <w:bCs w:val="0"/>
                <w:sz w:val="0"/>
                <w:szCs w:val="0"/>
                <w:lang w:val="uk" w:eastAsia="uk"/>
              </w:rPr>
              <w:t>-</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230FCE" w:rsidRDefault="00855E73" w:rsidP="00EB1242">
            <w:pPr>
              <w:pStyle w:val="rvps14"/>
              <w:rPr>
                <w:rStyle w:val="spanrvts0"/>
                <w:lang w:eastAsia="uk"/>
              </w:rPr>
            </w:pPr>
            <w:r w:rsidRPr="00810F71">
              <w:rPr>
                <w:rStyle w:val="spanrvts0"/>
                <w:lang w:val="ru-RU" w:eastAsia="uk"/>
              </w:rPr>
              <w:t xml:space="preserve"> </w:t>
            </w:r>
            <w:r w:rsidR="0059566F">
              <w:rPr>
                <w:rStyle w:val="spanrvts0"/>
                <w:lang w:eastAsia="uk"/>
              </w:rPr>
              <w:t xml:space="preserve"> </w:t>
            </w:r>
          </w:p>
          <w:p w:rsidR="00855E73" w:rsidRPr="00855E73" w:rsidRDefault="00855E73" w:rsidP="00EB1242">
            <w:pPr>
              <w:pStyle w:val="rvps14"/>
              <w:rPr>
                <w:rStyle w:val="spanrvts0"/>
                <w:lang w:eastAsia="uk"/>
              </w:rPr>
            </w:pPr>
            <w:r>
              <w:rPr>
                <w:rStyle w:val="spanrvts0"/>
                <w:lang w:eastAsia="uk"/>
              </w:rPr>
              <w:t xml:space="preserve"> </w:t>
            </w:r>
            <w:r w:rsidR="0059566F">
              <w:rPr>
                <w:rStyle w:val="spanrvts0"/>
                <w:lang w:eastAsia="uk"/>
              </w:rPr>
              <w:t xml:space="preserve"> </w:t>
            </w:r>
          </w:p>
        </w:tc>
      </w:tr>
      <w:tr w:rsidR="00230FCE" w:rsidRPr="00230FCE" w:rsidTr="00197F0A">
        <w:trPr>
          <w:trHeight w:val="60"/>
        </w:trPr>
        <w:tc>
          <w:tcPr>
            <w:tcW w:w="1304"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230FCE" w:rsidRPr="00230FCE" w:rsidRDefault="00230FCE" w:rsidP="00EB1242">
            <w:pPr>
              <w:pStyle w:val="rvps14"/>
              <w:rPr>
                <w:rStyle w:val="spanrvts0"/>
                <w:lang w:val="uk" w:eastAsia="uk"/>
              </w:rPr>
            </w:pPr>
            <w:r w:rsidRPr="00230FCE">
              <w:rPr>
                <w:rStyle w:val="spanrvts0"/>
                <w:b/>
                <w:bCs/>
                <w:lang w:val="uk" w:eastAsia="uk"/>
              </w:rPr>
              <w:t>Дата і час початку та завершення надсилання до депозитарної установи бюлетенів для голосування</w:t>
            </w:r>
            <w:r w:rsidRPr="00230FCE">
              <w:rPr>
                <w:rStyle w:val="spanrvts37"/>
                <w:b w:val="0"/>
                <w:bCs w:val="0"/>
                <w:sz w:val="0"/>
                <w:szCs w:val="0"/>
                <w:lang w:val="uk" w:eastAsia="uk"/>
              </w:rPr>
              <w:t>-</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230FCE" w:rsidRDefault="00855E73" w:rsidP="00EB1242">
            <w:pPr>
              <w:pStyle w:val="rvps14"/>
              <w:rPr>
                <w:rStyle w:val="spanrvts0"/>
                <w:lang w:eastAsia="uk"/>
              </w:rPr>
            </w:pPr>
            <w:r w:rsidRPr="00810F71">
              <w:rPr>
                <w:rStyle w:val="spanrvts0"/>
                <w:lang w:val="ru-RU" w:eastAsia="uk"/>
              </w:rPr>
              <w:t xml:space="preserve"> </w:t>
            </w:r>
            <w:r w:rsidR="0059566F">
              <w:rPr>
                <w:rStyle w:val="spanrvts0"/>
                <w:lang w:eastAsia="uk"/>
              </w:rPr>
              <w:t>18.05.2026 11:00</w:t>
            </w:r>
          </w:p>
          <w:p w:rsidR="00855E73" w:rsidRPr="00855E73" w:rsidRDefault="00855E73" w:rsidP="00EB1242">
            <w:pPr>
              <w:pStyle w:val="rvps14"/>
              <w:rPr>
                <w:rStyle w:val="spanrvts0"/>
                <w:lang w:eastAsia="uk"/>
              </w:rPr>
            </w:pPr>
            <w:r>
              <w:rPr>
                <w:rStyle w:val="spanrvts0"/>
                <w:lang w:eastAsia="uk"/>
              </w:rPr>
              <w:t xml:space="preserve"> </w:t>
            </w:r>
            <w:r w:rsidR="0059566F">
              <w:rPr>
                <w:rStyle w:val="spanrvts0"/>
                <w:lang w:eastAsia="uk"/>
              </w:rPr>
              <w:t>01.06.2026 18:00</w:t>
            </w:r>
          </w:p>
        </w:tc>
      </w:tr>
      <w:tr w:rsidR="00230FCE" w:rsidRPr="00230FCE" w:rsidTr="00197F0A">
        <w:trPr>
          <w:trHeight w:val="60"/>
        </w:trPr>
        <w:tc>
          <w:tcPr>
            <w:tcW w:w="1304"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230FCE" w:rsidRPr="00230FCE" w:rsidRDefault="00230FCE" w:rsidP="00EB1242">
            <w:pPr>
              <w:pStyle w:val="rvps14"/>
              <w:rPr>
                <w:rStyle w:val="spanrvts0"/>
                <w:lang w:val="uk" w:eastAsia="uk"/>
              </w:rPr>
            </w:pPr>
            <w:r w:rsidRPr="00230FCE">
              <w:rPr>
                <w:rStyle w:val="spanrvts0"/>
                <w:b/>
                <w:bCs/>
                <w:lang w:val="uk" w:eastAsia="uk"/>
              </w:rPr>
              <w:t>Дані про мету зменшення розміру статутного капіталу та спосіб, у який буде проведено таку процедуру</w:t>
            </w:r>
            <w:r w:rsidRPr="00230FCE">
              <w:rPr>
                <w:rStyle w:val="spanrvts37"/>
                <w:b w:val="0"/>
                <w:bCs w:val="0"/>
                <w:sz w:val="0"/>
                <w:szCs w:val="0"/>
                <w:lang w:val="uk" w:eastAsia="uk"/>
              </w:rPr>
              <w:t>-</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230FCE" w:rsidRPr="00C7694B" w:rsidRDefault="00C7694B" w:rsidP="00EB1242">
            <w:pPr>
              <w:pStyle w:val="rvps14"/>
              <w:rPr>
                <w:rStyle w:val="spanrvts0"/>
                <w:lang w:eastAsia="uk"/>
              </w:rPr>
            </w:pPr>
            <w:r w:rsidRPr="00810F71">
              <w:rPr>
                <w:rStyle w:val="spanrvts0"/>
                <w:lang w:val="ru-RU" w:eastAsia="uk"/>
              </w:rPr>
              <w:t xml:space="preserve"> </w:t>
            </w:r>
            <w:r w:rsidR="0059566F">
              <w:rPr>
                <w:rStyle w:val="spanrvts0"/>
                <w:lang w:eastAsia="uk"/>
              </w:rPr>
              <w:t xml:space="preserve"> </w:t>
            </w:r>
          </w:p>
        </w:tc>
      </w:tr>
      <w:tr w:rsidR="00230FCE" w:rsidRPr="00230FCE" w:rsidTr="00197F0A">
        <w:trPr>
          <w:trHeight w:val="60"/>
        </w:trPr>
        <w:tc>
          <w:tcPr>
            <w:tcW w:w="1304"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230FCE" w:rsidRPr="00230FCE" w:rsidRDefault="00230FCE" w:rsidP="00EB1242">
            <w:pPr>
              <w:pStyle w:val="rvps14"/>
              <w:rPr>
                <w:rStyle w:val="spanrvts0"/>
                <w:lang w:val="uk" w:eastAsia="uk"/>
              </w:rPr>
            </w:pPr>
            <w:r w:rsidRPr="00230FCE">
              <w:rPr>
                <w:rStyle w:val="spanrvts0"/>
                <w:b/>
                <w:bCs/>
                <w:lang w:val="uk" w:eastAsia="uk"/>
              </w:rPr>
              <w:t>Інші відомості, передбачені законодавством</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59566F" w:rsidRPr="00197F0A" w:rsidRDefault="00C7694B" w:rsidP="00EB1242">
            <w:pPr>
              <w:pStyle w:val="rvps14"/>
              <w:rPr>
                <w:rStyle w:val="spanrvts0"/>
                <w:lang w:val="ru-RU" w:eastAsia="uk"/>
              </w:rPr>
            </w:pPr>
            <w:r w:rsidRPr="00197F0A">
              <w:rPr>
                <w:rStyle w:val="spanrvts0"/>
                <w:lang w:val="ru-RU" w:eastAsia="uk"/>
              </w:rPr>
              <w:t xml:space="preserve"> </w:t>
            </w:r>
            <w:r w:rsidR="0059566F" w:rsidRPr="00197F0A">
              <w:rPr>
                <w:rStyle w:val="spanrvts0"/>
                <w:lang w:val="ru-RU" w:eastAsia="uk"/>
              </w:rPr>
              <w:t>Дата складання переліку акціонерів, яким надсилатиметься письмове повідомлення про проведення загальних зборів акціонерного товариства дистанційно, складеного ПАТ "НДУ": станом на 27.03.2026 року, за даними якого: загальна кількість простих іменних акцій Товариства складає 50 000 шт., в тому числі голосуючих - 50 000 шт.</w:t>
            </w:r>
          </w:p>
          <w:p w:rsidR="00230FCE" w:rsidRPr="00197F0A" w:rsidRDefault="0059566F" w:rsidP="00EB1242">
            <w:pPr>
              <w:pStyle w:val="rvps14"/>
              <w:rPr>
                <w:rStyle w:val="spanrvts0"/>
                <w:lang w:val="ru-RU" w:eastAsia="uk"/>
              </w:rPr>
            </w:pPr>
            <w:r w:rsidRPr="00197F0A">
              <w:rPr>
                <w:rStyle w:val="spanrvts0"/>
                <w:lang w:val="ru-RU" w:eastAsia="uk"/>
              </w:rPr>
              <w:t xml:space="preserve">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річних Загальних зборах акціонерів, що проводяться дистанційно. Протокол річних Загальних зборів акціонерів, проведених дистанційно, та протоколи про підсумки голосування на загальних зборах акціонерів доводяться до відома всіх акціонерів шляхом їх розміщення на веб-сайті Товариства: </w:t>
            </w:r>
            <w:r>
              <w:rPr>
                <w:rStyle w:val="spanrvts0"/>
                <w:lang w:eastAsia="uk"/>
              </w:rPr>
              <w:t>https</w:t>
            </w:r>
            <w:r w:rsidRPr="00197F0A">
              <w:rPr>
                <w:rStyle w:val="spanrvts0"/>
                <w:lang w:val="ru-RU" w:eastAsia="uk"/>
              </w:rPr>
              <w:t>://</w:t>
            </w:r>
            <w:r>
              <w:rPr>
                <w:rStyle w:val="spanrvts0"/>
                <w:lang w:eastAsia="uk"/>
              </w:rPr>
              <w:t>tdchervonazirka</w:t>
            </w:r>
            <w:r w:rsidRPr="00197F0A">
              <w:rPr>
                <w:rStyle w:val="spanrvts0"/>
                <w:lang w:val="ru-RU" w:eastAsia="uk"/>
              </w:rPr>
              <w:t>.</w:t>
            </w:r>
            <w:r>
              <w:rPr>
                <w:rStyle w:val="spanrvts0"/>
                <w:lang w:eastAsia="uk"/>
              </w:rPr>
              <w:t>prat</w:t>
            </w:r>
            <w:r w:rsidRPr="00197F0A">
              <w:rPr>
                <w:rStyle w:val="spanrvts0"/>
                <w:lang w:val="ru-RU" w:eastAsia="uk"/>
              </w:rPr>
              <w:t>.</w:t>
            </w:r>
            <w:r>
              <w:rPr>
                <w:rStyle w:val="spanrvts0"/>
                <w:lang w:eastAsia="uk"/>
              </w:rPr>
              <w:t>in</w:t>
            </w:r>
            <w:r w:rsidRPr="00197F0A">
              <w:rPr>
                <w:rStyle w:val="spanrvts0"/>
                <w:lang w:val="ru-RU" w:eastAsia="uk"/>
              </w:rPr>
              <w:t>.</w:t>
            </w:r>
            <w:r>
              <w:rPr>
                <w:rStyle w:val="spanrvts0"/>
                <w:lang w:eastAsia="uk"/>
              </w:rPr>
              <w:t>ua</w:t>
            </w:r>
            <w:r w:rsidRPr="00197F0A">
              <w:rPr>
                <w:rStyle w:val="spanrvts0"/>
                <w:lang w:val="ru-RU" w:eastAsia="uk"/>
              </w:rPr>
              <w:t>.</w:t>
            </w:r>
          </w:p>
        </w:tc>
      </w:tr>
      <w:tr w:rsidR="00230FCE" w:rsidRPr="00230FCE" w:rsidTr="00197F0A">
        <w:trPr>
          <w:trHeight w:val="60"/>
        </w:trPr>
        <w:tc>
          <w:tcPr>
            <w:tcW w:w="1304"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230FCE" w:rsidRPr="00230FCE" w:rsidRDefault="00230FCE" w:rsidP="00EB1242">
            <w:pPr>
              <w:pStyle w:val="rvps14"/>
              <w:rPr>
                <w:rStyle w:val="spanrvts0"/>
                <w:lang w:val="uk" w:eastAsia="uk"/>
              </w:rPr>
            </w:pPr>
            <w:r w:rsidRPr="00230FCE">
              <w:rPr>
                <w:rStyle w:val="spanrvts0"/>
                <w:b/>
                <w:bCs/>
                <w:lang w:val="uk" w:eastAsia="uk"/>
              </w:rPr>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230FCE" w:rsidRDefault="00C7694B" w:rsidP="00EB1242">
            <w:pPr>
              <w:pStyle w:val="rvps14"/>
              <w:rPr>
                <w:rStyle w:val="spanrvts0"/>
                <w:lang w:eastAsia="uk"/>
              </w:rPr>
            </w:pPr>
            <w:r w:rsidRPr="00810F71">
              <w:rPr>
                <w:rStyle w:val="spanrvts0"/>
                <w:lang w:val="ru-RU" w:eastAsia="uk"/>
              </w:rPr>
              <w:t xml:space="preserve"> </w:t>
            </w:r>
            <w:r w:rsidR="0059566F">
              <w:rPr>
                <w:rStyle w:val="spanrvts0"/>
                <w:lang w:eastAsia="uk"/>
              </w:rPr>
              <w:t>Протокол Наглядової Ради №2026/04/28</w:t>
            </w:r>
          </w:p>
          <w:p w:rsidR="00C7694B" w:rsidRPr="00C7694B" w:rsidRDefault="00C7694B" w:rsidP="00EB1242">
            <w:pPr>
              <w:pStyle w:val="rvps14"/>
              <w:rPr>
                <w:rStyle w:val="spanrvts0"/>
                <w:lang w:eastAsia="uk"/>
              </w:rPr>
            </w:pPr>
            <w:r>
              <w:rPr>
                <w:rStyle w:val="spanrvts0"/>
                <w:lang w:eastAsia="uk"/>
              </w:rPr>
              <w:t xml:space="preserve"> </w:t>
            </w:r>
            <w:r w:rsidR="0059566F">
              <w:rPr>
                <w:rStyle w:val="spanrvts0"/>
                <w:lang w:eastAsia="uk"/>
              </w:rPr>
              <w:t>29.04.2026</w:t>
            </w:r>
          </w:p>
        </w:tc>
      </w:tr>
      <w:tr w:rsidR="00230FCE" w:rsidRPr="00230FCE" w:rsidTr="00197F0A">
        <w:trPr>
          <w:trHeight w:val="60"/>
        </w:trPr>
        <w:tc>
          <w:tcPr>
            <w:tcW w:w="1304" w:type="pct"/>
            <w:gridSpan w:val="2"/>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rsidR="00230FCE" w:rsidRPr="00230FCE" w:rsidRDefault="00230FCE" w:rsidP="00EB1242">
            <w:pPr>
              <w:pStyle w:val="rvps14"/>
              <w:rPr>
                <w:rStyle w:val="spanrvts0"/>
                <w:lang w:val="uk" w:eastAsia="uk"/>
              </w:rPr>
            </w:pPr>
            <w:r w:rsidRPr="00230FCE">
              <w:rPr>
                <w:rStyle w:val="spanrvts0"/>
                <w:b/>
                <w:bCs/>
                <w:lang w:val="uk" w:eastAsia="uk"/>
              </w:rPr>
              <w:t>Дата складання повідомлення</w:t>
            </w:r>
          </w:p>
        </w:tc>
        <w:tc>
          <w:tcPr>
            <w:tcW w:w="369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rsidR="00230FCE" w:rsidRPr="00C7694B" w:rsidRDefault="00C7694B" w:rsidP="00EB1242">
            <w:pPr>
              <w:pStyle w:val="rvps14"/>
              <w:rPr>
                <w:rStyle w:val="spanrvts0"/>
                <w:lang w:eastAsia="uk"/>
              </w:rPr>
            </w:pPr>
            <w:r>
              <w:rPr>
                <w:rStyle w:val="spanrvts0"/>
                <w:lang w:eastAsia="uk"/>
              </w:rPr>
              <w:t xml:space="preserve"> </w:t>
            </w:r>
            <w:r w:rsidR="0059566F">
              <w:rPr>
                <w:rStyle w:val="spanrvts0"/>
                <w:lang w:eastAsia="uk"/>
              </w:rPr>
              <w:t>29.04.2026</w:t>
            </w:r>
          </w:p>
        </w:tc>
      </w:tr>
    </w:tbl>
    <w:p w:rsidR="00337465" w:rsidRPr="00230FCE" w:rsidRDefault="00337465" w:rsidP="00230FCE">
      <w:pPr>
        <w:pStyle w:val="rvps14"/>
        <w:spacing w:before="150" w:after="150"/>
        <w:rPr>
          <w:lang w:val="uk"/>
        </w:rPr>
      </w:pPr>
    </w:p>
    <w:sectPr w:rsidR="00337465" w:rsidRPr="00230FCE" w:rsidSect="0059566F">
      <w:pgSz w:w="11906" w:h="16838"/>
      <w:pgMar w:top="363" w:right="567" w:bottom="36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6F"/>
    <w:rsid w:val="00197F0A"/>
    <w:rsid w:val="00230FCE"/>
    <w:rsid w:val="002424A1"/>
    <w:rsid w:val="00337465"/>
    <w:rsid w:val="0059566F"/>
    <w:rsid w:val="00810F71"/>
    <w:rsid w:val="00855E73"/>
    <w:rsid w:val="00AA2A4D"/>
    <w:rsid w:val="00B8206F"/>
    <w:rsid w:val="00C7694B"/>
    <w:rsid w:val="00EB1242"/>
    <w:rsid w:val="00FC0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FCE"/>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rsid w:val="00230FCE"/>
    <w:rPr>
      <w:rFonts w:ascii="Times New Roman" w:eastAsia="Times New Roman" w:hAnsi="Times New Roman" w:cs="Times New Roman"/>
      <w:b w:val="0"/>
      <w:bCs w:val="0"/>
      <w:i w:val="0"/>
      <w:iCs w:val="0"/>
      <w:sz w:val="24"/>
      <w:szCs w:val="24"/>
    </w:rPr>
  </w:style>
  <w:style w:type="paragraph" w:customStyle="1" w:styleId="rvps14">
    <w:name w:val="rvps14"/>
    <w:basedOn w:val="a"/>
    <w:rsid w:val="00230FCE"/>
  </w:style>
  <w:style w:type="character" w:customStyle="1" w:styleId="spanrvts15">
    <w:name w:val="span_rvts15"/>
    <w:rsid w:val="00230FCE"/>
    <w:rPr>
      <w:rFonts w:ascii="Times New Roman" w:eastAsia="Times New Roman" w:hAnsi="Times New Roman" w:cs="Times New Roman"/>
      <w:b/>
      <w:bCs/>
      <w:i w:val="0"/>
      <w:iCs w:val="0"/>
      <w:sz w:val="28"/>
      <w:szCs w:val="28"/>
    </w:rPr>
  </w:style>
  <w:style w:type="paragraph" w:customStyle="1" w:styleId="rvps7">
    <w:name w:val="rvps7"/>
    <w:basedOn w:val="a"/>
    <w:rsid w:val="00230FCE"/>
    <w:pPr>
      <w:jc w:val="center"/>
    </w:pPr>
  </w:style>
  <w:style w:type="table" w:customStyle="1" w:styleId="articletable">
    <w:name w:val="article_table"/>
    <w:basedOn w:val="a1"/>
    <w:rsid w:val="00230FCE"/>
    <w:rPr>
      <w:rFonts w:ascii="Times New Roman" w:eastAsia="Times New Roman" w:hAnsi="Times New Roman"/>
      <w:lang w:val="en-US"/>
    </w:rPr>
    <w:tblPr>
      <w:tblInd w:w="0" w:type="dxa"/>
      <w:tblCellMar>
        <w:top w:w="0" w:type="dxa"/>
        <w:left w:w="108" w:type="dxa"/>
        <w:bottom w:w="0" w:type="dxa"/>
        <w:right w:w="108" w:type="dxa"/>
      </w:tblCellMar>
    </w:tblPr>
  </w:style>
  <w:style w:type="character" w:customStyle="1" w:styleId="arvts96">
    <w:name w:val="a_rvts96"/>
    <w:rsid w:val="00230FCE"/>
    <w:rPr>
      <w:rFonts w:ascii="Times New Roman" w:eastAsia="Times New Roman" w:hAnsi="Times New Roman" w:cs="Times New Roman"/>
      <w:b w:val="0"/>
      <w:bCs w:val="0"/>
      <w:i w:val="0"/>
      <w:iCs w:val="0"/>
      <w:color w:val="000099"/>
      <w:sz w:val="24"/>
      <w:szCs w:val="24"/>
    </w:rPr>
  </w:style>
  <w:style w:type="character" w:customStyle="1" w:styleId="spanrvts37">
    <w:name w:val="span_rvts37"/>
    <w:rsid w:val="00230FCE"/>
    <w:rPr>
      <w:rFonts w:ascii="Times New Roman" w:eastAsia="Times New Roman" w:hAnsi="Times New Roman" w:cs="Times New Roman"/>
      <w:b/>
      <w:bCs/>
      <w:i w:val="0"/>
      <w:iCs w:val="0"/>
      <w:sz w:val="24"/>
      <w:szCs w:val="24"/>
      <w:vertAlign w:val="superscript"/>
    </w:rPr>
  </w:style>
  <w:style w:type="character" w:customStyle="1" w:styleId="spanrvts82">
    <w:name w:val="span_rvts82"/>
    <w:rsid w:val="00230FCE"/>
    <w:rPr>
      <w:rFonts w:ascii="Times New Roman" w:eastAsia="Times New Roman" w:hAnsi="Times New Roman" w:cs="Times New Roman"/>
      <w:b w:val="0"/>
      <w:bCs w:val="0"/>
      <w:i w:val="0"/>
      <w:iCs w:val="0"/>
      <w:sz w:val="20"/>
      <w:szCs w:val="20"/>
    </w:rPr>
  </w:style>
  <w:style w:type="paragraph" w:customStyle="1" w:styleId="rvps12">
    <w:name w:val="rvps12"/>
    <w:basedOn w:val="a"/>
    <w:rsid w:val="00230FCE"/>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FCE"/>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rsid w:val="00230FCE"/>
    <w:rPr>
      <w:rFonts w:ascii="Times New Roman" w:eastAsia="Times New Roman" w:hAnsi="Times New Roman" w:cs="Times New Roman"/>
      <w:b w:val="0"/>
      <w:bCs w:val="0"/>
      <w:i w:val="0"/>
      <w:iCs w:val="0"/>
      <w:sz w:val="24"/>
      <w:szCs w:val="24"/>
    </w:rPr>
  </w:style>
  <w:style w:type="paragraph" w:customStyle="1" w:styleId="rvps14">
    <w:name w:val="rvps14"/>
    <w:basedOn w:val="a"/>
    <w:rsid w:val="00230FCE"/>
  </w:style>
  <w:style w:type="character" w:customStyle="1" w:styleId="spanrvts15">
    <w:name w:val="span_rvts15"/>
    <w:rsid w:val="00230FCE"/>
    <w:rPr>
      <w:rFonts w:ascii="Times New Roman" w:eastAsia="Times New Roman" w:hAnsi="Times New Roman" w:cs="Times New Roman"/>
      <w:b/>
      <w:bCs/>
      <w:i w:val="0"/>
      <w:iCs w:val="0"/>
      <w:sz w:val="28"/>
      <w:szCs w:val="28"/>
    </w:rPr>
  </w:style>
  <w:style w:type="paragraph" w:customStyle="1" w:styleId="rvps7">
    <w:name w:val="rvps7"/>
    <w:basedOn w:val="a"/>
    <w:rsid w:val="00230FCE"/>
    <w:pPr>
      <w:jc w:val="center"/>
    </w:pPr>
  </w:style>
  <w:style w:type="table" w:customStyle="1" w:styleId="articletable">
    <w:name w:val="article_table"/>
    <w:basedOn w:val="a1"/>
    <w:rsid w:val="00230FCE"/>
    <w:rPr>
      <w:rFonts w:ascii="Times New Roman" w:eastAsia="Times New Roman" w:hAnsi="Times New Roman"/>
      <w:lang w:val="en-US"/>
    </w:rPr>
    <w:tblPr>
      <w:tblInd w:w="0" w:type="dxa"/>
      <w:tblCellMar>
        <w:top w:w="0" w:type="dxa"/>
        <w:left w:w="108" w:type="dxa"/>
        <w:bottom w:w="0" w:type="dxa"/>
        <w:right w:w="108" w:type="dxa"/>
      </w:tblCellMar>
    </w:tblPr>
  </w:style>
  <w:style w:type="character" w:customStyle="1" w:styleId="arvts96">
    <w:name w:val="a_rvts96"/>
    <w:rsid w:val="00230FCE"/>
    <w:rPr>
      <w:rFonts w:ascii="Times New Roman" w:eastAsia="Times New Roman" w:hAnsi="Times New Roman" w:cs="Times New Roman"/>
      <w:b w:val="0"/>
      <w:bCs w:val="0"/>
      <w:i w:val="0"/>
      <w:iCs w:val="0"/>
      <w:color w:val="000099"/>
      <w:sz w:val="24"/>
      <w:szCs w:val="24"/>
    </w:rPr>
  </w:style>
  <w:style w:type="character" w:customStyle="1" w:styleId="spanrvts37">
    <w:name w:val="span_rvts37"/>
    <w:rsid w:val="00230FCE"/>
    <w:rPr>
      <w:rFonts w:ascii="Times New Roman" w:eastAsia="Times New Roman" w:hAnsi="Times New Roman" w:cs="Times New Roman"/>
      <w:b/>
      <w:bCs/>
      <w:i w:val="0"/>
      <w:iCs w:val="0"/>
      <w:sz w:val="24"/>
      <w:szCs w:val="24"/>
      <w:vertAlign w:val="superscript"/>
    </w:rPr>
  </w:style>
  <w:style w:type="character" w:customStyle="1" w:styleId="spanrvts82">
    <w:name w:val="span_rvts82"/>
    <w:rsid w:val="00230FCE"/>
    <w:rPr>
      <w:rFonts w:ascii="Times New Roman" w:eastAsia="Times New Roman" w:hAnsi="Times New Roman" w:cs="Times New Roman"/>
      <w:b w:val="0"/>
      <w:bCs w:val="0"/>
      <w:i w:val="0"/>
      <w:iCs w:val="0"/>
      <w:sz w:val="20"/>
      <w:szCs w:val="20"/>
    </w:rPr>
  </w:style>
  <w:style w:type="paragraph" w:customStyle="1" w:styleId="rvps12">
    <w:name w:val="rvps12"/>
    <w:basedOn w:val="a"/>
    <w:rsid w:val="00230FC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3" Type="http://schemas.openxmlformats.org/officeDocument/2006/relationships/settings" Target="settings.xml"/><Relationship Id="rId7" Type="http://schemas.openxmlformats.org/officeDocument/2006/relationships/hyperlink" Target="https://zakon.rada.gov.ua/laws/file/imgs/109/p529494n1280-29.em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file/imgs/109/p529494n1280-28.emf" TargetMode="External"/><Relationship Id="rId11" Type="http://schemas.openxmlformats.org/officeDocument/2006/relationships/fontTable" Target="fontTable.xml"/><Relationship Id="rId5" Type="http://schemas.openxmlformats.org/officeDocument/2006/relationships/hyperlink" Target="https://zakon.rada.gov.ua/laws/file/imgs/109/p529494n1280-27.emf" TargetMode="External"/><Relationship Id="rId10" Type="http://schemas.openxmlformats.org/officeDocument/2006/relationships/hyperlink" Target="https://zakon.rada.gov.ua/laws/show/2465-20" TargetMode="External"/><Relationship Id="rId4" Type="http://schemas.openxmlformats.org/officeDocument/2006/relationships/webSettings" Target="webSettings.xml"/><Relationship Id="rId9" Type="http://schemas.openxmlformats.org/officeDocument/2006/relationships/hyperlink" Target="https://zakon.rada.gov.ua/laws/show/2465-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I%202024\DOTS\zz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zza</Template>
  <TotalTime>2</TotalTime>
  <Pages>7</Pages>
  <Words>3177</Words>
  <Characters>18114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21249</CharactersWithSpaces>
  <SharedDoc>false</SharedDoc>
  <HLinks>
    <vt:vector size="36" baseType="variant">
      <vt:variant>
        <vt:i4>6881395</vt:i4>
      </vt:variant>
      <vt:variant>
        <vt:i4>15</vt:i4>
      </vt:variant>
      <vt:variant>
        <vt:i4>0</vt:i4>
      </vt:variant>
      <vt:variant>
        <vt:i4>5</vt:i4>
      </vt:variant>
      <vt:variant>
        <vt:lpwstr>https://zakon.rada.gov.ua/laws/show/2465-20</vt:lpwstr>
      </vt:variant>
      <vt:variant>
        <vt:lpwstr>n283</vt:lpwstr>
      </vt:variant>
      <vt:variant>
        <vt:i4>7209084</vt:i4>
      </vt:variant>
      <vt:variant>
        <vt:i4>12</vt:i4>
      </vt:variant>
      <vt:variant>
        <vt:i4>0</vt:i4>
      </vt:variant>
      <vt:variant>
        <vt:i4>5</vt:i4>
      </vt:variant>
      <vt:variant>
        <vt:lpwstr>https://zakon.rada.gov.ua/laws/show/2465-20</vt:lpwstr>
      </vt:variant>
      <vt:variant>
        <vt:lpwstr>n274</vt:lpwstr>
      </vt:variant>
      <vt:variant>
        <vt:i4>7012475</vt:i4>
      </vt:variant>
      <vt:variant>
        <vt:i4>9</vt:i4>
      </vt:variant>
      <vt:variant>
        <vt:i4>0</vt:i4>
      </vt:variant>
      <vt:variant>
        <vt:i4>5</vt:i4>
      </vt:variant>
      <vt:variant>
        <vt:lpwstr>https://zakon.rada.gov.ua/laws/show/2465-20</vt:lpwstr>
      </vt:variant>
      <vt:variant>
        <vt:lpwstr>n506</vt:lpwstr>
      </vt:variant>
      <vt:variant>
        <vt:i4>458761</vt:i4>
      </vt:variant>
      <vt:variant>
        <vt:i4>6</vt:i4>
      </vt:variant>
      <vt:variant>
        <vt:i4>0</vt:i4>
      </vt:variant>
      <vt:variant>
        <vt:i4>5</vt:i4>
      </vt:variant>
      <vt:variant>
        <vt:lpwstr>https://zakon.rada.gov.ua/laws/file/imgs/109/p529494n1280-29.emf</vt:lpwstr>
      </vt:variant>
      <vt:variant>
        <vt:lpwstr/>
      </vt:variant>
      <vt:variant>
        <vt:i4>393225</vt:i4>
      </vt:variant>
      <vt:variant>
        <vt:i4>3</vt:i4>
      </vt:variant>
      <vt:variant>
        <vt:i4>0</vt:i4>
      </vt:variant>
      <vt:variant>
        <vt:i4>5</vt:i4>
      </vt:variant>
      <vt:variant>
        <vt:lpwstr>https://zakon.rada.gov.ua/laws/file/imgs/109/p529494n1280-28.emf</vt:lpwstr>
      </vt:variant>
      <vt:variant>
        <vt:lpwstr/>
      </vt:variant>
      <vt:variant>
        <vt:i4>589833</vt:i4>
      </vt:variant>
      <vt:variant>
        <vt:i4>0</vt:i4>
      </vt:variant>
      <vt:variant>
        <vt:i4>0</vt:i4>
      </vt:variant>
      <vt:variant>
        <vt:i4>5</vt:i4>
      </vt:variant>
      <vt:variant>
        <vt:lpwstr>https://zakon.rada.gov.ua/laws/file/imgs/109/p529494n1280-27.emf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2</cp:revision>
  <dcterms:created xsi:type="dcterms:W3CDTF">2026-04-29T15:39:00Z</dcterms:created>
  <dcterms:modified xsi:type="dcterms:W3CDTF">2026-04-29T15:39:00Z</dcterms:modified>
</cp:coreProperties>
</file>