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CD" w:rsidRPr="009529B6" w:rsidRDefault="00470CCD" w:rsidP="009F1D09">
      <w:pPr>
        <w:pStyle w:val="a4"/>
        <w:tabs>
          <w:tab w:val="left" w:pos="8640"/>
        </w:tabs>
        <w:spacing w:before="0" w:beforeAutospacing="0" w:after="0"/>
        <w:ind w:firstLine="284"/>
        <w:jc w:val="both"/>
        <w:rPr>
          <w:sz w:val="22"/>
          <w:szCs w:val="22"/>
        </w:rPr>
      </w:pPr>
      <w:r w:rsidRPr="009529B6">
        <w:rPr>
          <w:b/>
          <w:bCs/>
          <w:sz w:val="22"/>
          <w:szCs w:val="22"/>
        </w:rPr>
        <w:t xml:space="preserve">ПРИВАТНЕ АКЦІОНЕРНЕ ТОВАРИСТВО </w:t>
      </w:r>
      <w:r w:rsidRPr="009529B6">
        <w:rPr>
          <w:b/>
          <w:sz w:val="22"/>
          <w:szCs w:val="22"/>
        </w:rPr>
        <w:t>«ТОРГОВИЙ ДІМ «ЧЕРВОНА ЗІРКА»</w:t>
      </w:r>
      <w:r w:rsidRPr="009529B6">
        <w:rPr>
          <w:sz w:val="22"/>
          <w:szCs w:val="22"/>
        </w:rPr>
        <w:t xml:space="preserve"> (надалі – Товариство), місцезнаходження: </w:t>
      </w:r>
      <w:r w:rsidR="009529B6" w:rsidRPr="009529B6">
        <w:rPr>
          <w:sz w:val="22"/>
          <w:szCs w:val="22"/>
        </w:rPr>
        <w:t>місто Кропивницький, вул.</w:t>
      </w:r>
      <w:r w:rsidR="009529B6" w:rsidRPr="009529B6">
        <w:rPr>
          <w:sz w:val="22"/>
          <w:szCs w:val="22"/>
        </w:rPr>
        <w:t xml:space="preserve"> </w:t>
      </w:r>
      <w:proofErr w:type="spellStart"/>
      <w:r w:rsidR="009529B6" w:rsidRPr="009529B6">
        <w:rPr>
          <w:sz w:val="22"/>
          <w:szCs w:val="22"/>
        </w:rPr>
        <w:t>Чикаленка</w:t>
      </w:r>
      <w:proofErr w:type="spellEnd"/>
      <w:r w:rsidR="009529B6" w:rsidRPr="009529B6">
        <w:rPr>
          <w:sz w:val="22"/>
          <w:szCs w:val="22"/>
        </w:rPr>
        <w:t xml:space="preserve"> Євгена, будинок 1, корпус 2, офіс 202</w:t>
      </w:r>
      <w:r w:rsidRPr="009529B6">
        <w:rPr>
          <w:sz w:val="22"/>
          <w:szCs w:val="22"/>
        </w:rPr>
        <w:t xml:space="preserve">, повідомляє про проведення річних загальних зборів акціонерів (надалі - Збори), які відбудуться </w:t>
      </w:r>
      <w:r w:rsidR="009529B6">
        <w:rPr>
          <w:sz w:val="22"/>
          <w:szCs w:val="22"/>
        </w:rPr>
        <w:t>28</w:t>
      </w:r>
      <w:r w:rsidRPr="009529B6">
        <w:rPr>
          <w:sz w:val="22"/>
          <w:szCs w:val="22"/>
        </w:rPr>
        <w:t xml:space="preserve"> квітня 20</w:t>
      </w:r>
      <w:r w:rsidR="00E30F52" w:rsidRPr="009529B6">
        <w:rPr>
          <w:sz w:val="22"/>
          <w:szCs w:val="22"/>
        </w:rPr>
        <w:t>2</w:t>
      </w:r>
      <w:r w:rsidR="009529B6">
        <w:rPr>
          <w:sz w:val="22"/>
          <w:szCs w:val="22"/>
        </w:rPr>
        <w:t>1</w:t>
      </w:r>
      <w:r w:rsidRPr="009529B6">
        <w:rPr>
          <w:sz w:val="22"/>
          <w:szCs w:val="22"/>
        </w:rPr>
        <w:t xml:space="preserve"> року о 16 годині 00 хвилин за </w:t>
      </w:r>
      <w:proofErr w:type="spellStart"/>
      <w:r w:rsidRPr="009529B6">
        <w:rPr>
          <w:sz w:val="22"/>
          <w:szCs w:val="22"/>
        </w:rPr>
        <w:t>адресою</w:t>
      </w:r>
      <w:proofErr w:type="spellEnd"/>
      <w:r w:rsidRPr="009529B6">
        <w:rPr>
          <w:sz w:val="22"/>
          <w:szCs w:val="22"/>
        </w:rPr>
        <w:t xml:space="preserve">: </w:t>
      </w:r>
      <w:r w:rsidR="009529B6" w:rsidRPr="009529B6">
        <w:rPr>
          <w:sz w:val="22"/>
          <w:szCs w:val="22"/>
        </w:rPr>
        <w:t xml:space="preserve">місто Кропивницький, вул. </w:t>
      </w:r>
      <w:proofErr w:type="spellStart"/>
      <w:r w:rsidR="009529B6" w:rsidRPr="009529B6">
        <w:rPr>
          <w:sz w:val="22"/>
          <w:szCs w:val="22"/>
        </w:rPr>
        <w:t>Чикаленка</w:t>
      </w:r>
      <w:proofErr w:type="spellEnd"/>
      <w:r w:rsidR="009529B6" w:rsidRPr="009529B6">
        <w:rPr>
          <w:sz w:val="22"/>
          <w:szCs w:val="22"/>
        </w:rPr>
        <w:t xml:space="preserve"> Євгена, будинок 1, корпус 2, офіс 202</w:t>
      </w:r>
      <w:r w:rsidRPr="009529B6">
        <w:rPr>
          <w:sz w:val="22"/>
          <w:szCs w:val="22"/>
        </w:rPr>
        <w:t xml:space="preserve">. Реєстрація акціонерів та їх представників для участі у річних загальних зборах буде проводитись </w:t>
      </w:r>
      <w:r w:rsidR="009529B6">
        <w:rPr>
          <w:sz w:val="22"/>
          <w:szCs w:val="22"/>
        </w:rPr>
        <w:t>28</w:t>
      </w:r>
      <w:r w:rsidRPr="009529B6">
        <w:rPr>
          <w:sz w:val="22"/>
          <w:szCs w:val="22"/>
        </w:rPr>
        <w:t>.04.20</w:t>
      </w:r>
      <w:r w:rsidR="00E30F52" w:rsidRPr="009529B6">
        <w:rPr>
          <w:sz w:val="22"/>
          <w:szCs w:val="22"/>
        </w:rPr>
        <w:t>2</w:t>
      </w:r>
      <w:r w:rsidR="009529B6">
        <w:rPr>
          <w:sz w:val="22"/>
          <w:szCs w:val="22"/>
        </w:rPr>
        <w:t>1</w:t>
      </w:r>
      <w:r w:rsidRPr="009529B6">
        <w:rPr>
          <w:sz w:val="22"/>
          <w:szCs w:val="22"/>
        </w:rPr>
        <w:t xml:space="preserve"> року з 15 години 30 хвилин (час початку реєстрації) до 15 години 50 хвилин (час закінчення реєстрації) за місцем проведення Зборів. Дата складення переліку акціонерів, які мають право на участь у річних загальних зборах акціонерів, – 2</w:t>
      </w:r>
      <w:r w:rsidR="009529B6">
        <w:rPr>
          <w:sz w:val="22"/>
          <w:szCs w:val="22"/>
        </w:rPr>
        <w:t>2</w:t>
      </w:r>
      <w:r w:rsidRPr="009529B6">
        <w:rPr>
          <w:sz w:val="22"/>
          <w:szCs w:val="22"/>
        </w:rPr>
        <w:t>.04.20</w:t>
      </w:r>
      <w:r w:rsidR="00E30F52" w:rsidRPr="009529B6">
        <w:rPr>
          <w:sz w:val="22"/>
          <w:szCs w:val="22"/>
        </w:rPr>
        <w:t>2</w:t>
      </w:r>
      <w:r w:rsidR="009529B6">
        <w:rPr>
          <w:sz w:val="22"/>
          <w:szCs w:val="22"/>
        </w:rPr>
        <w:t>1</w:t>
      </w:r>
      <w:r w:rsidRPr="009529B6">
        <w:rPr>
          <w:sz w:val="22"/>
          <w:szCs w:val="22"/>
        </w:rPr>
        <w:t xml:space="preserve"> року (станом на 24 годину).</w:t>
      </w:r>
    </w:p>
    <w:p w:rsidR="002E65DE" w:rsidRPr="0005565E" w:rsidRDefault="002E65DE" w:rsidP="009F1D09">
      <w:pPr>
        <w:pStyle w:val="a4"/>
        <w:tabs>
          <w:tab w:val="left" w:pos="8640"/>
        </w:tabs>
        <w:spacing w:before="0" w:beforeAutospacing="0" w:after="0"/>
        <w:ind w:firstLine="284"/>
        <w:jc w:val="both"/>
        <w:rPr>
          <w:sz w:val="22"/>
          <w:szCs w:val="22"/>
        </w:rPr>
      </w:pPr>
      <w:r w:rsidRPr="0005565E">
        <w:rPr>
          <w:b/>
          <w:bCs/>
          <w:sz w:val="22"/>
          <w:szCs w:val="22"/>
        </w:rPr>
        <w:t>Перелік питань разом з проектом рішень (крім кумулятивного голосування) щодо кожного з питань, включених до проекту порядку денного:</w:t>
      </w:r>
      <w:r w:rsidRPr="0005565E">
        <w:rPr>
          <w:sz w:val="22"/>
          <w:szCs w:val="22"/>
        </w:rPr>
        <w:t xml:space="preserve"> </w:t>
      </w:r>
    </w:p>
    <w:p w:rsidR="009F0722" w:rsidRPr="0005565E" w:rsidRDefault="009F0722" w:rsidP="009F1D09">
      <w:pPr>
        <w:pStyle w:val="a4"/>
        <w:tabs>
          <w:tab w:val="left" w:pos="8640"/>
        </w:tabs>
        <w:spacing w:before="0" w:beforeAutospacing="0" w:after="0"/>
        <w:ind w:firstLine="284"/>
        <w:jc w:val="both"/>
        <w:rPr>
          <w:sz w:val="22"/>
          <w:szCs w:val="22"/>
        </w:rPr>
      </w:pPr>
      <w:r w:rsidRPr="0005565E">
        <w:rPr>
          <w:b/>
          <w:sz w:val="22"/>
          <w:szCs w:val="22"/>
        </w:rPr>
        <w:t xml:space="preserve">1. </w:t>
      </w:r>
      <w:r w:rsidRPr="0005565E">
        <w:rPr>
          <w:b/>
          <w:sz w:val="22"/>
          <w:szCs w:val="22"/>
          <w:shd w:val="clear" w:color="auto" w:fill="FFFFFF"/>
        </w:rPr>
        <w:t>Обрання членів лічильної комісії, прийняття рішення про припинення їх повноважень</w:t>
      </w:r>
      <w:r w:rsidRPr="0005565E">
        <w:rPr>
          <w:b/>
          <w:sz w:val="22"/>
          <w:szCs w:val="22"/>
        </w:rPr>
        <w:t xml:space="preserve">. </w:t>
      </w:r>
      <w:r w:rsidRPr="0005565E">
        <w:rPr>
          <w:sz w:val="22"/>
          <w:szCs w:val="22"/>
        </w:rPr>
        <w:t xml:space="preserve">Проект рішення: Обрати лічильну комісію річних загальних зборів Товариства в складі: </w:t>
      </w:r>
      <w:r w:rsidR="00E30F52" w:rsidRPr="0005565E">
        <w:rPr>
          <w:sz w:val="22"/>
          <w:szCs w:val="22"/>
        </w:rPr>
        <w:t>Ільченко І.В.</w:t>
      </w:r>
      <w:r w:rsidRPr="0005565E">
        <w:rPr>
          <w:sz w:val="22"/>
          <w:szCs w:val="22"/>
        </w:rPr>
        <w:t xml:space="preserve"> – член лічильної комісії, </w:t>
      </w:r>
      <w:proofErr w:type="spellStart"/>
      <w:r w:rsidRPr="0005565E">
        <w:rPr>
          <w:sz w:val="22"/>
          <w:szCs w:val="22"/>
        </w:rPr>
        <w:t>Прасол</w:t>
      </w:r>
      <w:proofErr w:type="spellEnd"/>
      <w:r w:rsidRPr="0005565E">
        <w:rPr>
          <w:sz w:val="22"/>
          <w:szCs w:val="22"/>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9F0722" w:rsidRPr="0005565E" w:rsidRDefault="00E30F52" w:rsidP="009F1D09">
      <w:pPr>
        <w:pStyle w:val="a4"/>
        <w:tabs>
          <w:tab w:val="left" w:pos="8640"/>
        </w:tabs>
        <w:spacing w:before="0" w:beforeAutospacing="0" w:after="0"/>
        <w:ind w:firstLine="284"/>
        <w:jc w:val="both"/>
        <w:rPr>
          <w:sz w:val="22"/>
          <w:szCs w:val="22"/>
        </w:rPr>
      </w:pPr>
      <w:r w:rsidRPr="0005565E">
        <w:rPr>
          <w:b/>
          <w:sz w:val="22"/>
          <w:szCs w:val="22"/>
        </w:rPr>
        <w:t>2</w:t>
      </w:r>
      <w:r w:rsidR="009F0722" w:rsidRPr="0005565E">
        <w:rPr>
          <w:b/>
          <w:sz w:val="22"/>
          <w:szCs w:val="22"/>
        </w:rPr>
        <w:t xml:space="preserve">. </w:t>
      </w:r>
      <w:r w:rsidR="009F0722" w:rsidRPr="0005565E">
        <w:rPr>
          <w:b/>
          <w:sz w:val="22"/>
          <w:szCs w:val="22"/>
          <w:shd w:val="clear" w:color="auto" w:fill="FFFFFF"/>
        </w:rPr>
        <w:t xml:space="preserve">Прийняття рішень з питань порядку проведення загальних зборів. </w:t>
      </w:r>
      <w:r w:rsidR="009F0722" w:rsidRPr="0005565E">
        <w:rPr>
          <w:sz w:val="22"/>
          <w:szCs w:val="22"/>
          <w:shd w:val="clear" w:color="auto" w:fill="FFFFFF"/>
        </w:rPr>
        <w:t>Проект рішення: 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2E65DE" w:rsidRPr="0005565E" w:rsidRDefault="00E30F52" w:rsidP="009F1D09">
      <w:pPr>
        <w:pStyle w:val="a4"/>
        <w:tabs>
          <w:tab w:val="left" w:pos="8640"/>
        </w:tabs>
        <w:spacing w:before="0" w:beforeAutospacing="0" w:after="0"/>
        <w:ind w:firstLine="284"/>
        <w:jc w:val="both"/>
        <w:rPr>
          <w:sz w:val="22"/>
          <w:szCs w:val="22"/>
        </w:rPr>
      </w:pPr>
      <w:r w:rsidRPr="0005565E">
        <w:rPr>
          <w:b/>
          <w:sz w:val="22"/>
          <w:szCs w:val="22"/>
        </w:rPr>
        <w:t>3</w:t>
      </w:r>
      <w:r w:rsidR="002E65DE" w:rsidRPr="0005565E">
        <w:rPr>
          <w:b/>
          <w:sz w:val="22"/>
          <w:szCs w:val="22"/>
        </w:rPr>
        <w:t xml:space="preserve">. Звіт </w:t>
      </w:r>
      <w:r w:rsidRPr="0005565E">
        <w:rPr>
          <w:b/>
          <w:sz w:val="22"/>
          <w:szCs w:val="22"/>
        </w:rPr>
        <w:t xml:space="preserve">голови правління – виконавчого </w:t>
      </w:r>
      <w:r w:rsidR="002E65DE" w:rsidRPr="0005565E">
        <w:rPr>
          <w:b/>
          <w:sz w:val="22"/>
          <w:szCs w:val="22"/>
        </w:rPr>
        <w:t>директора про результати фінансово – господарської діяльності товариства за 20</w:t>
      </w:r>
      <w:r w:rsidR="009529B6">
        <w:rPr>
          <w:b/>
          <w:sz w:val="22"/>
          <w:szCs w:val="22"/>
        </w:rPr>
        <w:t>20</w:t>
      </w:r>
      <w:r w:rsidR="002E65DE" w:rsidRPr="0005565E">
        <w:rPr>
          <w:b/>
          <w:sz w:val="22"/>
          <w:szCs w:val="22"/>
        </w:rPr>
        <w:t xml:space="preserve"> рік та прийняття рішення за наслідками розгляду звіту.</w:t>
      </w:r>
      <w:r w:rsidR="007949FF" w:rsidRPr="0005565E">
        <w:rPr>
          <w:b/>
          <w:sz w:val="22"/>
          <w:szCs w:val="22"/>
        </w:rPr>
        <w:t xml:space="preserve"> </w:t>
      </w:r>
      <w:r w:rsidR="002E65DE" w:rsidRPr="0005565E">
        <w:rPr>
          <w:sz w:val="22"/>
          <w:szCs w:val="22"/>
          <w:shd w:val="clear" w:color="auto" w:fill="FFFFFF"/>
        </w:rPr>
        <w:t>Проект рішення:</w:t>
      </w:r>
      <w:r w:rsidR="00D007BA" w:rsidRPr="0005565E">
        <w:rPr>
          <w:sz w:val="22"/>
          <w:szCs w:val="22"/>
          <w:shd w:val="clear" w:color="auto" w:fill="FFFFFF"/>
        </w:rPr>
        <w:t xml:space="preserve"> </w:t>
      </w:r>
      <w:r w:rsidR="002E65DE" w:rsidRPr="0005565E">
        <w:rPr>
          <w:sz w:val="22"/>
          <w:szCs w:val="22"/>
        </w:rPr>
        <w:t xml:space="preserve">Звіт </w:t>
      </w:r>
      <w:r w:rsidR="00470CCD" w:rsidRPr="0005565E">
        <w:rPr>
          <w:sz w:val="22"/>
          <w:szCs w:val="22"/>
        </w:rPr>
        <w:t xml:space="preserve">голови правління –виконавчого </w:t>
      </w:r>
      <w:r w:rsidR="002E65DE" w:rsidRPr="0005565E">
        <w:rPr>
          <w:sz w:val="22"/>
          <w:szCs w:val="22"/>
        </w:rPr>
        <w:t>директора товариства про результати фінансово – господарської діяльності за 20</w:t>
      </w:r>
      <w:r w:rsidR="009529B6">
        <w:rPr>
          <w:sz w:val="22"/>
          <w:szCs w:val="22"/>
        </w:rPr>
        <w:t>20</w:t>
      </w:r>
      <w:r w:rsidR="002E65DE" w:rsidRPr="0005565E">
        <w:rPr>
          <w:sz w:val="22"/>
          <w:szCs w:val="22"/>
        </w:rPr>
        <w:t xml:space="preserve">рік затвердити. </w:t>
      </w:r>
    </w:p>
    <w:p w:rsidR="007949FF" w:rsidRPr="0005565E" w:rsidRDefault="00E30F52" w:rsidP="009F1D09">
      <w:pPr>
        <w:pStyle w:val="a4"/>
        <w:tabs>
          <w:tab w:val="left" w:pos="8640"/>
        </w:tabs>
        <w:spacing w:before="0" w:beforeAutospacing="0" w:after="0"/>
        <w:ind w:firstLine="284"/>
        <w:jc w:val="both"/>
        <w:rPr>
          <w:sz w:val="22"/>
          <w:szCs w:val="22"/>
        </w:rPr>
      </w:pPr>
      <w:r w:rsidRPr="0005565E">
        <w:rPr>
          <w:b/>
          <w:sz w:val="22"/>
          <w:szCs w:val="22"/>
        </w:rPr>
        <w:t>4</w:t>
      </w:r>
      <w:r w:rsidR="002E65DE" w:rsidRPr="0005565E">
        <w:rPr>
          <w:b/>
          <w:sz w:val="22"/>
          <w:szCs w:val="22"/>
        </w:rPr>
        <w:t>. Звіт наглядової ради про діяльність за 20</w:t>
      </w:r>
      <w:r w:rsidR="009529B6">
        <w:rPr>
          <w:b/>
          <w:sz w:val="22"/>
          <w:szCs w:val="22"/>
        </w:rPr>
        <w:t>20</w:t>
      </w:r>
      <w:r w:rsidR="002E65DE" w:rsidRPr="0005565E">
        <w:rPr>
          <w:b/>
          <w:sz w:val="22"/>
          <w:szCs w:val="22"/>
        </w:rPr>
        <w:t xml:space="preserve"> рік та прийняття рішення за наслідками розгляду звіту.</w:t>
      </w:r>
      <w:r w:rsidR="007949FF" w:rsidRPr="0005565E">
        <w:rPr>
          <w:b/>
          <w:sz w:val="22"/>
          <w:szCs w:val="22"/>
        </w:rPr>
        <w:t xml:space="preserve"> </w:t>
      </w:r>
      <w:r w:rsidR="002E65DE" w:rsidRPr="0005565E">
        <w:rPr>
          <w:sz w:val="22"/>
          <w:szCs w:val="22"/>
          <w:shd w:val="clear" w:color="auto" w:fill="FFFFFF"/>
        </w:rPr>
        <w:t>Проект рішення:</w:t>
      </w:r>
      <w:r w:rsidR="00D007BA" w:rsidRPr="0005565E">
        <w:rPr>
          <w:sz w:val="22"/>
          <w:szCs w:val="22"/>
          <w:shd w:val="clear" w:color="auto" w:fill="FFFFFF"/>
        </w:rPr>
        <w:t xml:space="preserve"> </w:t>
      </w:r>
      <w:r w:rsidR="002E65DE" w:rsidRPr="0005565E">
        <w:rPr>
          <w:sz w:val="22"/>
          <w:szCs w:val="22"/>
        </w:rPr>
        <w:t>Звіт наглядової ради про діяльність за 20</w:t>
      </w:r>
      <w:r w:rsidR="009529B6">
        <w:rPr>
          <w:sz w:val="22"/>
          <w:szCs w:val="22"/>
        </w:rPr>
        <w:t>20</w:t>
      </w:r>
      <w:r w:rsidR="002E65DE" w:rsidRPr="0005565E">
        <w:rPr>
          <w:sz w:val="22"/>
          <w:szCs w:val="22"/>
        </w:rPr>
        <w:t xml:space="preserve"> рік затвердити.</w:t>
      </w:r>
    </w:p>
    <w:p w:rsidR="002E65DE" w:rsidRPr="0005565E" w:rsidRDefault="00E30F52" w:rsidP="009F1D09">
      <w:pPr>
        <w:pStyle w:val="a4"/>
        <w:tabs>
          <w:tab w:val="left" w:pos="8640"/>
        </w:tabs>
        <w:spacing w:before="0" w:beforeAutospacing="0" w:after="0"/>
        <w:ind w:firstLine="284"/>
        <w:jc w:val="both"/>
        <w:rPr>
          <w:sz w:val="22"/>
          <w:szCs w:val="22"/>
        </w:rPr>
      </w:pPr>
      <w:r w:rsidRPr="0005565E">
        <w:rPr>
          <w:b/>
          <w:sz w:val="22"/>
          <w:szCs w:val="22"/>
        </w:rPr>
        <w:t>5</w:t>
      </w:r>
      <w:r w:rsidR="002E65DE" w:rsidRPr="0005565E">
        <w:rPr>
          <w:b/>
          <w:sz w:val="22"/>
          <w:szCs w:val="22"/>
        </w:rPr>
        <w:t>. Звіт ревізора та висновок ревізора про результати перевірки фінансово-господарської діяльності товариства за 20</w:t>
      </w:r>
      <w:r w:rsidR="009529B6">
        <w:rPr>
          <w:b/>
          <w:sz w:val="22"/>
          <w:szCs w:val="22"/>
        </w:rPr>
        <w:t>20</w:t>
      </w:r>
      <w:r w:rsidR="002E65DE" w:rsidRPr="0005565E">
        <w:rPr>
          <w:b/>
          <w:sz w:val="22"/>
          <w:szCs w:val="22"/>
        </w:rPr>
        <w:t xml:space="preserve"> рік, прийняття рішення за наслідками розгляду звіту та затвердження висновку ревізора.</w:t>
      </w:r>
      <w:r w:rsidR="007949FF" w:rsidRPr="0005565E">
        <w:rPr>
          <w:b/>
          <w:sz w:val="22"/>
          <w:szCs w:val="22"/>
        </w:rPr>
        <w:t xml:space="preserve"> </w:t>
      </w:r>
      <w:r w:rsidR="002E65DE" w:rsidRPr="0005565E">
        <w:rPr>
          <w:sz w:val="22"/>
          <w:szCs w:val="22"/>
          <w:shd w:val="clear" w:color="auto" w:fill="FFFFFF"/>
        </w:rPr>
        <w:t>Проект рішення:</w:t>
      </w:r>
      <w:r w:rsidR="00D007BA" w:rsidRPr="0005565E">
        <w:rPr>
          <w:sz w:val="22"/>
          <w:szCs w:val="22"/>
          <w:shd w:val="clear" w:color="auto" w:fill="FFFFFF"/>
        </w:rPr>
        <w:t xml:space="preserve"> </w:t>
      </w:r>
      <w:r w:rsidR="002E65DE" w:rsidRPr="0005565E">
        <w:rPr>
          <w:sz w:val="22"/>
          <w:szCs w:val="22"/>
        </w:rPr>
        <w:t>Затвердити звіт ревізора, висновок ревізора про результати перевірки фінансово-господарської діяльності товариства за 20</w:t>
      </w:r>
      <w:r w:rsidR="009529B6">
        <w:rPr>
          <w:sz w:val="22"/>
          <w:szCs w:val="22"/>
        </w:rPr>
        <w:t>20</w:t>
      </w:r>
      <w:r w:rsidR="002E65DE" w:rsidRPr="0005565E">
        <w:rPr>
          <w:sz w:val="22"/>
          <w:szCs w:val="22"/>
        </w:rPr>
        <w:t xml:space="preserve"> рік. </w:t>
      </w:r>
    </w:p>
    <w:p w:rsidR="002E65DE" w:rsidRPr="0005565E" w:rsidRDefault="00E30F52" w:rsidP="009F1D09">
      <w:pPr>
        <w:pStyle w:val="a4"/>
        <w:tabs>
          <w:tab w:val="left" w:pos="8640"/>
        </w:tabs>
        <w:spacing w:before="0" w:beforeAutospacing="0" w:after="0"/>
        <w:ind w:firstLine="284"/>
        <w:jc w:val="both"/>
        <w:rPr>
          <w:sz w:val="22"/>
          <w:szCs w:val="22"/>
        </w:rPr>
      </w:pPr>
      <w:r w:rsidRPr="0005565E">
        <w:rPr>
          <w:b/>
          <w:sz w:val="22"/>
          <w:szCs w:val="22"/>
        </w:rPr>
        <w:t>6</w:t>
      </w:r>
      <w:r w:rsidR="002E65DE" w:rsidRPr="0005565E">
        <w:rPr>
          <w:b/>
          <w:sz w:val="22"/>
          <w:szCs w:val="22"/>
        </w:rPr>
        <w:t>. Затвердження річного звіту акціонерного товариства та порядку розподілу прибутку (покриття збитку) за 20</w:t>
      </w:r>
      <w:r w:rsidR="009529B6">
        <w:rPr>
          <w:b/>
          <w:sz w:val="22"/>
          <w:szCs w:val="22"/>
        </w:rPr>
        <w:t>20</w:t>
      </w:r>
      <w:r w:rsidR="002E65DE" w:rsidRPr="0005565E">
        <w:rPr>
          <w:b/>
          <w:sz w:val="22"/>
          <w:szCs w:val="22"/>
        </w:rPr>
        <w:t xml:space="preserve"> рік, </w:t>
      </w:r>
      <w:r w:rsidR="002E65DE" w:rsidRPr="0005565E">
        <w:rPr>
          <w:sz w:val="22"/>
          <w:szCs w:val="22"/>
          <w:shd w:val="clear" w:color="auto" w:fill="FFFFFF"/>
        </w:rPr>
        <w:t>Проект рішення:</w:t>
      </w:r>
      <w:r w:rsidR="00D007BA" w:rsidRPr="0005565E">
        <w:rPr>
          <w:sz w:val="22"/>
          <w:szCs w:val="22"/>
          <w:shd w:val="clear" w:color="auto" w:fill="FFFFFF"/>
        </w:rPr>
        <w:t xml:space="preserve"> </w:t>
      </w:r>
      <w:r w:rsidR="002E65DE" w:rsidRPr="0005565E">
        <w:rPr>
          <w:sz w:val="22"/>
          <w:szCs w:val="22"/>
        </w:rPr>
        <w:t>Затвердити річний звіт за 20</w:t>
      </w:r>
      <w:r w:rsidR="00B77F86">
        <w:rPr>
          <w:sz w:val="22"/>
          <w:szCs w:val="22"/>
        </w:rPr>
        <w:t>20</w:t>
      </w:r>
      <w:r w:rsidR="002E65DE" w:rsidRPr="0005565E">
        <w:rPr>
          <w:sz w:val="22"/>
          <w:szCs w:val="22"/>
        </w:rPr>
        <w:t xml:space="preserve"> р. </w:t>
      </w:r>
      <w:r w:rsidR="00470CCD" w:rsidRPr="0005565E">
        <w:rPr>
          <w:sz w:val="22"/>
          <w:szCs w:val="22"/>
        </w:rPr>
        <w:t>Прибуток отриманий за підсумками діяльності ПрАТ «Торговий дім «Червона зірка» у 20</w:t>
      </w:r>
      <w:r w:rsidR="00B77F86">
        <w:rPr>
          <w:sz w:val="22"/>
          <w:szCs w:val="22"/>
        </w:rPr>
        <w:t>20</w:t>
      </w:r>
      <w:r w:rsidR="00470CCD" w:rsidRPr="0005565E">
        <w:rPr>
          <w:sz w:val="22"/>
          <w:szCs w:val="22"/>
        </w:rPr>
        <w:t xml:space="preserve"> р. не розподіляти</w:t>
      </w:r>
      <w:r w:rsidR="00A21DE2" w:rsidRPr="0005565E">
        <w:rPr>
          <w:color w:val="000000"/>
          <w:sz w:val="22"/>
          <w:szCs w:val="22"/>
          <w:shd w:val="clear" w:color="auto" w:fill="FFFFFF"/>
        </w:rPr>
        <w:t>.</w:t>
      </w:r>
    </w:p>
    <w:p w:rsidR="003D359A" w:rsidRPr="0005565E" w:rsidRDefault="003D359A" w:rsidP="009F1D09">
      <w:pPr>
        <w:pStyle w:val="a4"/>
        <w:tabs>
          <w:tab w:val="left" w:pos="8640"/>
        </w:tabs>
        <w:spacing w:before="0" w:beforeAutospacing="0" w:after="0"/>
        <w:ind w:firstLine="284"/>
        <w:jc w:val="both"/>
        <w:rPr>
          <w:sz w:val="22"/>
          <w:szCs w:val="22"/>
        </w:rPr>
      </w:pPr>
    </w:p>
    <w:p w:rsidR="002E65DE" w:rsidRPr="0005565E" w:rsidRDefault="002E65DE" w:rsidP="009F1D09">
      <w:pPr>
        <w:pStyle w:val="a4"/>
        <w:tabs>
          <w:tab w:val="left" w:pos="8640"/>
        </w:tabs>
        <w:spacing w:before="0" w:beforeAutospacing="0" w:after="0"/>
        <w:ind w:firstLine="284"/>
        <w:jc w:val="both"/>
        <w:rPr>
          <w:b/>
          <w:sz w:val="22"/>
          <w:szCs w:val="22"/>
        </w:rPr>
      </w:pPr>
      <w:r w:rsidRPr="0005565E">
        <w:rPr>
          <w:sz w:val="22"/>
          <w:szCs w:val="22"/>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hyperlink r:id="rId5" w:history="1">
        <w:r w:rsidR="0005565E" w:rsidRPr="0005565E">
          <w:rPr>
            <w:rStyle w:val="a3"/>
            <w:b/>
            <w:sz w:val="22"/>
            <w:szCs w:val="22"/>
          </w:rPr>
          <w:t>http://tdchervonazirka.prat.in.ua</w:t>
        </w:r>
      </w:hyperlink>
      <w:r w:rsidR="009F1D09" w:rsidRPr="0005565E">
        <w:rPr>
          <w:b/>
          <w:sz w:val="22"/>
          <w:szCs w:val="22"/>
        </w:rPr>
        <w:t>.</w:t>
      </w:r>
    </w:p>
    <w:p w:rsidR="00B77F86" w:rsidRDefault="00B77F86" w:rsidP="0005565E">
      <w:pPr>
        <w:pStyle w:val="a4"/>
        <w:tabs>
          <w:tab w:val="left" w:pos="8640"/>
        </w:tabs>
        <w:spacing w:before="0" w:beforeAutospacing="0" w:after="0"/>
        <w:ind w:firstLine="709"/>
        <w:jc w:val="both"/>
        <w:rPr>
          <w:sz w:val="22"/>
          <w:szCs w:val="22"/>
        </w:rPr>
      </w:pPr>
      <w:r w:rsidRPr="00B81A34">
        <w:rPr>
          <w:sz w:val="18"/>
          <w:szCs w:val="18"/>
        </w:rPr>
        <w:t xml:space="preserve">Згідно з переліком осіб, яким надсилається повідомлення про проведення річних загальних зборів, складеним станом на 11.03.2021 року, загальна кількість простих іменних акцій Товариства становить </w:t>
      </w:r>
      <w:r>
        <w:rPr>
          <w:sz w:val="18"/>
          <w:szCs w:val="18"/>
        </w:rPr>
        <w:t>5</w:t>
      </w:r>
      <w:r w:rsidRPr="00B81A34">
        <w:rPr>
          <w:sz w:val="18"/>
          <w:szCs w:val="18"/>
        </w:rPr>
        <w:t xml:space="preserve">0 000 штук, загальна кількість голосуючих акцій Товариства становить </w:t>
      </w:r>
      <w:r>
        <w:rPr>
          <w:sz w:val="18"/>
          <w:szCs w:val="18"/>
        </w:rPr>
        <w:t>5</w:t>
      </w:r>
      <w:r w:rsidRPr="00B81A34">
        <w:rPr>
          <w:sz w:val="18"/>
          <w:szCs w:val="18"/>
        </w:rPr>
        <w:t>0 000 штук.</w:t>
      </w:r>
    </w:p>
    <w:p w:rsidR="002E65DE" w:rsidRPr="0005565E" w:rsidRDefault="002E65DE" w:rsidP="009F1D09">
      <w:pPr>
        <w:pStyle w:val="a4"/>
        <w:tabs>
          <w:tab w:val="left" w:pos="8640"/>
        </w:tabs>
        <w:spacing w:before="0" w:beforeAutospacing="0" w:after="0"/>
        <w:ind w:firstLine="284"/>
        <w:jc w:val="both"/>
        <w:rPr>
          <w:sz w:val="22"/>
          <w:szCs w:val="22"/>
        </w:rPr>
      </w:pPr>
      <w:r w:rsidRPr="0005565E">
        <w:rPr>
          <w:sz w:val="22"/>
          <w:szCs w:val="22"/>
        </w:rPr>
        <w:t>Для участі у річних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річних загальних зборах, зокрема, але не обмежуючись цим:</w:t>
      </w:r>
    </w:p>
    <w:p w:rsidR="002E65DE" w:rsidRPr="0005565E" w:rsidRDefault="002E65DE" w:rsidP="009F1D09">
      <w:pPr>
        <w:pStyle w:val="a4"/>
        <w:tabs>
          <w:tab w:val="left" w:pos="8640"/>
        </w:tabs>
        <w:spacing w:before="0" w:beforeAutospacing="0" w:after="0"/>
        <w:ind w:firstLine="284"/>
        <w:jc w:val="both"/>
        <w:rPr>
          <w:sz w:val="22"/>
          <w:szCs w:val="22"/>
        </w:rPr>
      </w:pPr>
      <w:r w:rsidRPr="0005565E">
        <w:rPr>
          <w:sz w:val="22"/>
          <w:szCs w:val="22"/>
        </w:rPr>
        <w:t>- 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річних загальних зборах Товариства;</w:t>
      </w:r>
    </w:p>
    <w:p w:rsidR="002E65DE" w:rsidRPr="0005565E" w:rsidRDefault="002E65DE" w:rsidP="009F1D09">
      <w:pPr>
        <w:pStyle w:val="a4"/>
        <w:tabs>
          <w:tab w:val="left" w:pos="8640"/>
        </w:tabs>
        <w:spacing w:before="0" w:beforeAutospacing="0" w:after="0"/>
        <w:ind w:firstLine="284"/>
        <w:jc w:val="both"/>
        <w:rPr>
          <w:sz w:val="22"/>
          <w:szCs w:val="22"/>
        </w:rPr>
      </w:pPr>
      <w:r w:rsidRPr="0005565E">
        <w:rPr>
          <w:sz w:val="22"/>
          <w:szCs w:val="22"/>
        </w:rPr>
        <w:t xml:space="preserve">- представник акціонера за довіреністю – посвідчену згідно з чинним законодавством України довіреність, яка надає представнику право на участь та голосування на річних загальних зборах Товариства. </w:t>
      </w:r>
    </w:p>
    <w:p w:rsidR="002E65DE" w:rsidRPr="0005565E" w:rsidRDefault="002E65DE" w:rsidP="009F1D09">
      <w:pPr>
        <w:pStyle w:val="a4"/>
        <w:tabs>
          <w:tab w:val="left" w:pos="8640"/>
        </w:tabs>
        <w:spacing w:before="0" w:beforeAutospacing="0" w:after="0"/>
        <w:ind w:firstLine="284"/>
        <w:jc w:val="both"/>
        <w:rPr>
          <w:sz w:val="22"/>
          <w:szCs w:val="22"/>
        </w:rPr>
      </w:pPr>
      <w:r w:rsidRPr="0005565E">
        <w:rPr>
          <w:sz w:val="22"/>
          <w:szCs w:val="22"/>
        </w:rPr>
        <w:t>Акціонер має право видати довіреність на право участі та голосування на річних загальних зборах своїм представникам. Надання довіреності на право участі та голосування на річних загальних зборах не виключає право участі у цих зборах акціонера, який видав довіреність, замість свого представника. До закінчення часу, відведеного на реєстрацію учасників річних загальних зборів, акціонер має право замінити свого представника, повідомивши про це реєстраційну комісію та виконавчий орган Товариства, або взяти участь у річних загальних зборах особисто. У разі, якщо для участі в річних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річних загальних зборах здійснюється за їх згодою одним із співвласників або їх загальним представником.</w:t>
      </w:r>
      <w:r w:rsidR="00BE02F2" w:rsidRPr="0005565E">
        <w:rPr>
          <w:sz w:val="22"/>
          <w:szCs w:val="22"/>
        </w:rPr>
        <w:t xml:space="preserve"> </w:t>
      </w:r>
      <w:r w:rsidRPr="0005565E">
        <w:rPr>
          <w:sz w:val="22"/>
          <w:szCs w:val="22"/>
        </w:rPr>
        <w:t>Представник акціонера голосує на річних загальних зборах на свій розсуд або згідно з завданням щодо голосування, виданим акціонером.</w:t>
      </w:r>
    </w:p>
    <w:p w:rsidR="002E65DE" w:rsidRPr="0005565E" w:rsidRDefault="002E65DE" w:rsidP="009F1D09">
      <w:pPr>
        <w:pStyle w:val="a4"/>
        <w:tabs>
          <w:tab w:val="left" w:pos="8640"/>
        </w:tabs>
        <w:spacing w:before="0" w:beforeAutospacing="0" w:after="0"/>
        <w:ind w:firstLine="284"/>
        <w:jc w:val="both"/>
        <w:rPr>
          <w:sz w:val="22"/>
          <w:szCs w:val="22"/>
        </w:rPr>
      </w:pPr>
      <w:r w:rsidRPr="0005565E">
        <w:rPr>
          <w:sz w:val="22"/>
          <w:szCs w:val="22"/>
        </w:rPr>
        <w:t xml:space="preserve">Для ознайомлення з матеріалами до річних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м. Кропивницький, </w:t>
      </w:r>
      <w:r w:rsidR="00BE02F2" w:rsidRPr="0005565E">
        <w:rPr>
          <w:sz w:val="22"/>
          <w:szCs w:val="22"/>
        </w:rPr>
        <w:t xml:space="preserve">вул. </w:t>
      </w:r>
      <w:r w:rsidR="00FB03E6" w:rsidRPr="0005565E">
        <w:rPr>
          <w:sz w:val="22"/>
          <w:szCs w:val="22"/>
        </w:rPr>
        <w:t>Ельворті</w:t>
      </w:r>
      <w:r w:rsidR="00BE02F2" w:rsidRPr="0005565E">
        <w:rPr>
          <w:sz w:val="22"/>
          <w:szCs w:val="22"/>
        </w:rPr>
        <w:t xml:space="preserve">, </w:t>
      </w:r>
      <w:r w:rsidR="00FB03E6" w:rsidRPr="0005565E">
        <w:rPr>
          <w:sz w:val="22"/>
          <w:szCs w:val="22"/>
        </w:rPr>
        <w:t>7</w:t>
      </w:r>
      <w:r w:rsidRPr="0005565E">
        <w:rPr>
          <w:sz w:val="22"/>
          <w:szCs w:val="22"/>
        </w:rPr>
        <w:t xml:space="preserve">, офіс </w:t>
      </w:r>
      <w:r w:rsidR="00FB03E6" w:rsidRPr="0005565E">
        <w:rPr>
          <w:sz w:val="22"/>
          <w:szCs w:val="22"/>
        </w:rPr>
        <w:t>10</w:t>
      </w:r>
      <w:r w:rsidR="009F1D09" w:rsidRPr="0005565E">
        <w:rPr>
          <w:sz w:val="22"/>
          <w:szCs w:val="22"/>
        </w:rPr>
        <w:t>5</w:t>
      </w:r>
      <w:r w:rsidR="00FB03E6" w:rsidRPr="0005565E">
        <w:rPr>
          <w:sz w:val="22"/>
          <w:szCs w:val="22"/>
        </w:rPr>
        <w:t xml:space="preserve"> </w:t>
      </w:r>
      <w:r w:rsidRPr="0005565E">
        <w:rPr>
          <w:sz w:val="22"/>
          <w:szCs w:val="22"/>
        </w:rPr>
        <w:t xml:space="preserve">у робочі дні, робочі години, а в день проведення зборів - за місцем їх проведення. </w:t>
      </w:r>
    </w:p>
    <w:p w:rsidR="002E65DE" w:rsidRPr="0005565E" w:rsidRDefault="002E65DE" w:rsidP="009F1D09">
      <w:pPr>
        <w:pStyle w:val="a4"/>
        <w:tabs>
          <w:tab w:val="left" w:pos="8640"/>
        </w:tabs>
        <w:spacing w:before="0" w:beforeAutospacing="0" w:after="0"/>
        <w:ind w:firstLine="284"/>
        <w:jc w:val="both"/>
        <w:rPr>
          <w:sz w:val="22"/>
          <w:szCs w:val="22"/>
        </w:rPr>
      </w:pPr>
      <w:r w:rsidRPr="0005565E">
        <w:rPr>
          <w:sz w:val="22"/>
          <w:szCs w:val="22"/>
        </w:rPr>
        <w:lastRenderedPageBreak/>
        <w:t>Акціонери мають право направляти письмові запитання щодо питань, включених до проекту порядку денного річних загальних зборів та порядку денного річних загальних зборів.</w:t>
      </w:r>
      <w:r w:rsidR="007949FF" w:rsidRPr="0005565E">
        <w:rPr>
          <w:sz w:val="22"/>
          <w:szCs w:val="22"/>
        </w:rPr>
        <w:t xml:space="preserve"> </w:t>
      </w:r>
      <w:r w:rsidRPr="0005565E">
        <w:rPr>
          <w:sz w:val="22"/>
          <w:szCs w:val="22"/>
        </w:rPr>
        <w:t>Акціонери мають право вносити пропозиції до проекту порядку денного річних загальних зборів не пізніше ніж за 20 днів до дня проведення річних загальних зборів, а щодо кандидатів до складу органів Товариства - не пізніше ніж за 7 днів до дня проведення річних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05565E">
        <w:rPr>
          <w:sz w:val="22"/>
          <w:szCs w:val="22"/>
        </w:rPr>
        <w:t>ів</w:t>
      </w:r>
      <w:proofErr w:type="spellEnd"/>
      <w:r w:rsidRPr="0005565E">
        <w:rPr>
          <w:sz w:val="22"/>
          <w:szCs w:val="22"/>
        </w:rPr>
        <w:t>),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оскаржувати до суду рішення про відмову у включенні їх пропозицій до проекту порядку денного річних загальних зборів. З запитаннями та роз’ясненнями щодо порядку подання пропозицій до проекту порядку денного акціонери можуть звертатися до посадової особи, відповідальної за порядок ознайомлення акціонерів з документами, необхідними для прийняття рішень з питань проекту порядку денного річних загальних зборів, за наведеним нижче номером телефону.</w:t>
      </w:r>
    </w:p>
    <w:p w:rsidR="00FB03E6" w:rsidRPr="0005565E" w:rsidRDefault="002E65DE" w:rsidP="009F1D09">
      <w:pPr>
        <w:pStyle w:val="a4"/>
        <w:spacing w:before="0" w:beforeAutospacing="0" w:after="0"/>
        <w:ind w:firstLine="284"/>
        <w:jc w:val="both"/>
        <w:rPr>
          <w:sz w:val="22"/>
          <w:szCs w:val="22"/>
        </w:rPr>
      </w:pPr>
      <w:r w:rsidRPr="0005565E">
        <w:rPr>
          <w:sz w:val="22"/>
          <w:szCs w:val="22"/>
        </w:rPr>
        <w:t xml:space="preserve">Посадова особа, відповідальна за порядок ознайомлення акціонерів з документами – </w:t>
      </w:r>
      <w:r w:rsidR="00FB03E6" w:rsidRPr="0005565E">
        <w:rPr>
          <w:sz w:val="22"/>
          <w:szCs w:val="22"/>
        </w:rPr>
        <w:t>головний бухгалтер Товариства</w:t>
      </w:r>
      <w:r w:rsidR="00FB03E6" w:rsidRPr="0005565E">
        <w:rPr>
          <w:b/>
          <w:sz w:val="22"/>
          <w:szCs w:val="22"/>
        </w:rPr>
        <w:t xml:space="preserve"> </w:t>
      </w:r>
      <w:proofErr w:type="spellStart"/>
      <w:r w:rsidR="00FB03E6" w:rsidRPr="0005565E">
        <w:rPr>
          <w:sz w:val="22"/>
          <w:szCs w:val="22"/>
        </w:rPr>
        <w:t>Замуренко</w:t>
      </w:r>
      <w:proofErr w:type="spellEnd"/>
      <w:r w:rsidR="00FB03E6" w:rsidRPr="0005565E">
        <w:rPr>
          <w:sz w:val="22"/>
          <w:szCs w:val="22"/>
        </w:rPr>
        <w:t xml:space="preserve"> Ю.В.</w:t>
      </w:r>
    </w:p>
    <w:p w:rsidR="00BE02F2" w:rsidRPr="0005565E" w:rsidRDefault="00FB03E6" w:rsidP="009F1D09">
      <w:pPr>
        <w:pStyle w:val="a4"/>
        <w:spacing w:before="0" w:beforeAutospacing="0" w:after="0"/>
        <w:ind w:firstLine="284"/>
        <w:jc w:val="both"/>
        <w:rPr>
          <w:sz w:val="22"/>
          <w:szCs w:val="22"/>
        </w:rPr>
      </w:pPr>
      <w:r w:rsidRPr="0005565E">
        <w:rPr>
          <w:sz w:val="22"/>
          <w:szCs w:val="22"/>
        </w:rPr>
        <w:t>Телефон для довідок (0522) 39-53-14.</w:t>
      </w:r>
    </w:p>
    <w:p w:rsidR="00F70782" w:rsidRPr="0005565E" w:rsidRDefault="00F70782" w:rsidP="00F70782">
      <w:pPr>
        <w:shd w:val="clear" w:color="auto" w:fill="FFFFFF"/>
        <w:ind w:firstLine="357"/>
        <w:jc w:val="both"/>
        <w:rPr>
          <w:b/>
          <w:color w:val="000000"/>
          <w:szCs w:val="22"/>
        </w:rPr>
      </w:pPr>
      <w:r w:rsidRPr="0005565E">
        <w:rPr>
          <w:b/>
          <w:color w:val="000000"/>
          <w:szCs w:val="22"/>
        </w:rPr>
        <w:t>Основні показники фінансово-господарської діяльності підприємства (тис. грн.)*</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7862"/>
        <w:gridCol w:w="1348"/>
        <w:gridCol w:w="2022"/>
      </w:tblGrid>
      <w:tr w:rsidR="009F1D09" w:rsidRPr="0005565E" w:rsidTr="009529B6">
        <w:tc>
          <w:tcPr>
            <w:tcW w:w="786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F1D09" w:rsidRPr="0005565E" w:rsidRDefault="009F1D09" w:rsidP="009F1D09">
            <w:pPr>
              <w:jc w:val="center"/>
              <w:rPr>
                <w:szCs w:val="22"/>
              </w:rPr>
            </w:pPr>
            <w:r w:rsidRPr="0005565E">
              <w:rPr>
                <w:szCs w:val="22"/>
              </w:rPr>
              <w:t>Найменування показника</w:t>
            </w:r>
          </w:p>
        </w:tc>
        <w:tc>
          <w:tcPr>
            <w:tcW w:w="3370" w:type="dxa"/>
            <w:gridSpan w:val="2"/>
            <w:tcBorders>
              <w:top w:val="single" w:sz="2" w:space="0" w:color="000000"/>
              <w:left w:val="single" w:sz="2" w:space="0" w:color="000000"/>
              <w:bottom w:val="single" w:sz="2" w:space="0" w:color="000000"/>
              <w:right w:val="single" w:sz="2" w:space="0" w:color="000000"/>
            </w:tcBorders>
            <w:shd w:val="clear" w:color="auto" w:fill="auto"/>
          </w:tcPr>
          <w:p w:rsidR="009F1D09" w:rsidRPr="0005565E" w:rsidRDefault="009F1D09" w:rsidP="009F1D09">
            <w:pPr>
              <w:jc w:val="center"/>
              <w:rPr>
                <w:szCs w:val="22"/>
              </w:rPr>
            </w:pPr>
            <w:r w:rsidRPr="0005565E">
              <w:rPr>
                <w:szCs w:val="22"/>
              </w:rPr>
              <w:t>Період</w:t>
            </w:r>
          </w:p>
        </w:tc>
      </w:tr>
      <w:tr w:rsidR="009F1D09" w:rsidRPr="0005565E" w:rsidTr="009529B6">
        <w:tc>
          <w:tcPr>
            <w:tcW w:w="78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F1D09" w:rsidRPr="0005565E" w:rsidRDefault="009F1D09" w:rsidP="009F1D09">
            <w:pPr>
              <w:rPr>
                <w:szCs w:val="22"/>
              </w:rPr>
            </w:pP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F1D09" w:rsidRPr="0005565E" w:rsidRDefault="009F1D09" w:rsidP="009F1D09">
            <w:pPr>
              <w:jc w:val="center"/>
              <w:rPr>
                <w:szCs w:val="22"/>
              </w:rPr>
            </w:pPr>
            <w:r w:rsidRPr="0005565E">
              <w:rPr>
                <w:szCs w:val="22"/>
              </w:rPr>
              <w:t>звітний</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F1D09" w:rsidRPr="0005565E" w:rsidRDefault="009F1D09" w:rsidP="009F1D09">
            <w:pPr>
              <w:jc w:val="center"/>
              <w:rPr>
                <w:szCs w:val="22"/>
              </w:rPr>
            </w:pPr>
            <w:r w:rsidRPr="0005565E">
              <w:rPr>
                <w:szCs w:val="22"/>
              </w:rPr>
              <w:t>попередній</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Усього активів</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47721</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46546</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Основні засоби (за залишковою вартістю)</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B77F86" w:rsidP="009F1D09">
            <w:pPr>
              <w:jc w:val="center"/>
              <w:rPr>
                <w:szCs w:val="22"/>
              </w:rPr>
            </w:pPr>
            <w:r>
              <w:rPr>
                <w:szCs w:val="22"/>
              </w:rPr>
              <w:t>-</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Запаси</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B77F86" w:rsidP="009F1D09">
            <w:pPr>
              <w:jc w:val="center"/>
              <w:rPr>
                <w:szCs w:val="22"/>
              </w:rPr>
            </w:pPr>
            <w:r>
              <w:rPr>
                <w:szCs w:val="22"/>
              </w:rPr>
              <w:t>-</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Сумарна дебіторська заборгованість</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3765</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B77F86">
            <w:pPr>
              <w:jc w:val="center"/>
              <w:rPr>
                <w:szCs w:val="22"/>
              </w:rPr>
            </w:pPr>
            <w:r w:rsidRPr="0005565E">
              <w:rPr>
                <w:szCs w:val="22"/>
              </w:rPr>
              <w:t>324</w:t>
            </w:r>
            <w:r w:rsidR="00B77F86">
              <w:rPr>
                <w:szCs w:val="22"/>
              </w:rPr>
              <w:t>5</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Гроші та їх еквіваленти</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1069</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392</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Нерозподілений прибуток (непокритий збиток)</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46823</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45509</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Власний капітал</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47357</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46043</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Зареєстрований (пайовий/статутний) капітал</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5</w:t>
            </w:r>
            <w:bookmarkStart w:id="0" w:name="_GoBack"/>
            <w:bookmarkEnd w:id="0"/>
            <w:r>
              <w:rPr>
                <w:szCs w:val="22"/>
              </w:rPr>
              <w:t>00</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500</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Довгострокові зобов'язання і забезпечення</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jc w:val="center"/>
              <w:rPr>
                <w:szCs w:val="22"/>
              </w:rPr>
            </w:pPr>
            <w:r>
              <w:rPr>
                <w:szCs w:val="22"/>
              </w:rPr>
              <w:t>-</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Поточні зобов'язання і забезпечення</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4276B6" w:rsidP="009F1D09">
            <w:pPr>
              <w:jc w:val="center"/>
              <w:rPr>
                <w:szCs w:val="22"/>
              </w:rPr>
            </w:pPr>
            <w:r>
              <w:rPr>
                <w:szCs w:val="22"/>
              </w:rPr>
              <w:t>364</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503</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Чистий фінансовий результат: прибуток (збиток)</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4276B6" w:rsidP="009F1D09">
            <w:pPr>
              <w:jc w:val="center"/>
              <w:rPr>
                <w:szCs w:val="22"/>
              </w:rPr>
            </w:pPr>
            <w:r>
              <w:rPr>
                <w:szCs w:val="22"/>
              </w:rPr>
              <w:t>1314</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1</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Середньорічна кількість акцій (шт.)</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4276B6" w:rsidP="009F1D09">
            <w:pPr>
              <w:jc w:val="center"/>
              <w:rPr>
                <w:szCs w:val="22"/>
              </w:rPr>
            </w:pPr>
            <w:r>
              <w:rPr>
                <w:szCs w:val="22"/>
              </w:rPr>
              <w:t>50000</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50000</w:t>
            </w:r>
          </w:p>
        </w:tc>
      </w:tr>
      <w:tr w:rsidR="009529B6" w:rsidRPr="0005565E" w:rsidTr="009529B6">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9F1D09">
            <w:pPr>
              <w:rPr>
                <w:szCs w:val="22"/>
              </w:rPr>
            </w:pPr>
            <w:r w:rsidRPr="0005565E">
              <w:rPr>
                <w:szCs w:val="22"/>
              </w:rPr>
              <w:t>Чистий прибуток (збиток) на одну просту акцію (грн)</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4276B6" w:rsidP="009F1D09">
            <w:pPr>
              <w:jc w:val="center"/>
              <w:rPr>
                <w:szCs w:val="22"/>
              </w:rPr>
            </w:pPr>
            <w:r>
              <w:rPr>
                <w:szCs w:val="22"/>
              </w:rPr>
              <w:t>26,28</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529B6" w:rsidRPr="0005565E" w:rsidRDefault="009529B6" w:rsidP="00DF59E7">
            <w:pPr>
              <w:jc w:val="center"/>
              <w:rPr>
                <w:szCs w:val="22"/>
              </w:rPr>
            </w:pPr>
            <w:r w:rsidRPr="0005565E">
              <w:rPr>
                <w:szCs w:val="22"/>
              </w:rPr>
              <w:t>0,02</w:t>
            </w:r>
          </w:p>
        </w:tc>
      </w:tr>
    </w:tbl>
    <w:p w:rsidR="0014194C" w:rsidRPr="0005565E" w:rsidRDefault="002E65DE" w:rsidP="007949FF">
      <w:pPr>
        <w:pStyle w:val="a4"/>
        <w:spacing w:before="0" w:beforeAutospacing="0" w:after="0"/>
        <w:ind w:firstLine="360"/>
        <w:jc w:val="right"/>
        <w:rPr>
          <w:sz w:val="22"/>
          <w:szCs w:val="22"/>
        </w:rPr>
      </w:pPr>
      <w:r w:rsidRPr="0005565E">
        <w:rPr>
          <w:sz w:val="22"/>
          <w:szCs w:val="22"/>
        </w:rPr>
        <w:t>Наглядова рада.</w:t>
      </w:r>
    </w:p>
    <w:p w:rsidR="009F1D09" w:rsidRPr="0005565E" w:rsidRDefault="009F1D09">
      <w:pPr>
        <w:rPr>
          <w:b/>
          <w:bCs/>
          <w:szCs w:val="22"/>
        </w:rPr>
      </w:pPr>
    </w:p>
    <w:sectPr w:rsidR="009F1D09" w:rsidRPr="0005565E" w:rsidSect="003D359A">
      <w:pgSz w:w="11906" w:h="16838"/>
      <w:pgMar w:top="397" w:right="397" w:bottom="397" w:left="397"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04586F"/>
    <w:rsid w:val="0005565E"/>
    <w:rsid w:val="0014194C"/>
    <w:rsid w:val="00147E39"/>
    <w:rsid w:val="00197DB1"/>
    <w:rsid w:val="001A14CD"/>
    <w:rsid w:val="002754F8"/>
    <w:rsid w:val="002E65DE"/>
    <w:rsid w:val="003C6E04"/>
    <w:rsid w:val="003D359A"/>
    <w:rsid w:val="004276B6"/>
    <w:rsid w:val="004522C5"/>
    <w:rsid w:val="00470CCD"/>
    <w:rsid w:val="0065355A"/>
    <w:rsid w:val="00654584"/>
    <w:rsid w:val="006D5121"/>
    <w:rsid w:val="007949FF"/>
    <w:rsid w:val="008161BF"/>
    <w:rsid w:val="008550A5"/>
    <w:rsid w:val="00876186"/>
    <w:rsid w:val="009266CC"/>
    <w:rsid w:val="00943F10"/>
    <w:rsid w:val="00950A00"/>
    <w:rsid w:val="009529B6"/>
    <w:rsid w:val="00961D20"/>
    <w:rsid w:val="009B28A3"/>
    <w:rsid w:val="009F0722"/>
    <w:rsid w:val="009F1D09"/>
    <w:rsid w:val="00A07ADE"/>
    <w:rsid w:val="00A21DE2"/>
    <w:rsid w:val="00A44C75"/>
    <w:rsid w:val="00B11B17"/>
    <w:rsid w:val="00B77F86"/>
    <w:rsid w:val="00B82B17"/>
    <w:rsid w:val="00BE02F2"/>
    <w:rsid w:val="00C43734"/>
    <w:rsid w:val="00D007BA"/>
    <w:rsid w:val="00D0332F"/>
    <w:rsid w:val="00DF73EB"/>
    <w:rsid w:val="00E30F52"/>
    <w:rsid w:val="00E90EA4"/>
    <w:rsid w:val="00EF26AA"/>
    <w:rsid w:val="00F67FC7"/>
    <w:rsid w:val="00F70782"/>
    <w:rsid w:val="00FB03E6"/>
    <w:rsid w:val="00FF4D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5924">
      <w:bodyDiv w:val="1"/>
      <w:marLeft w:val="0"/>
      <w:marRight w:val="0"/>
      <w:marTop w:val="0"/>
      <w:marBottom w:val="0"/>
      <w:divBdr>
        <w:top w:val="none" w:sz="0" w:space="0" w:color="auto"/>
        <w:left w:val="none" w:sz="0" w:space="0" w:color="auto"/>
        <w:bottom w:val="none" w:sz="0" w:space="0" w:color="auto"/>
        <w:right w:val="none" w:sz="0" w:space="0" w:color="auto"/>
      </w:divBdr>
    </w:div>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dchervonazirka.prat.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5056</Words>
  <Characters>2883</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ILCHENKO</cp:lastModifiedBy>
  <cp:revision>3</cp:revision>
  <cp:lastPrinted>2018-03-26T11:58:00Z</cp:lastPrinted>
  <dcterms:created xsi:type="dcterms:W3CDTF">2021-03-24T10:08:00Z</dcterms:created>
  <dcterms:modified xsi:type="dcterms:W3CDTF">2021-03-24T13:00:00Z</dcterms:modified>
</cp:coreProperties>
</file>